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left"/>
      </w:pPr>
      <w:r>
        <w:rPr>
          <w:rFonts w:ascii="MTN Brighter Sans" w:hAnsi="MTN Brighter Sans" w:eastAsia="MTN Brighter Sans"/>
          <w:b/>
          <w:color w:val="1F2937"/>
          <w:sz w:val="44"/>
        </w:rPr>
        <w:t>Koineckta Privacy Policy</w:t>
      </w:r>
    </w:p>
    <w:p>
      <w:pPr>
        <w:spacing w:after="240"/>
      </w:pPr>
      <w:r>
        <w:rPr>
          <w:rFonts w:ascii="MTN Brighter Sans" w:hAnsi="MTN Brighter Sans" w:eastAsia="MTN Brighter Sans"/>
          <w:b/>
          <w:color w:val="F28C28"/>
          <w:sz w:val="20"/>
        </w:rPr>
        <w:t>KOINECKTA TECHNOLOGIES LIMITED</w:t>
      </w:r>
    </w:p>
    <w:tbl>
      <w:tblPr>
        <w:tblW w:type="auto" w:w="0"/>
        <w:tblLayout w:type="fixed"/>
        <w:tblLook w:firstColumn="1" w:firstRow="1" w:lastColumn="0" w:lastRow="0" w:noHBand="0" w:noVBand="1" w:val="04A0"/>
      </w:tblPr>
      <w:tblGrid>
        <w:gridCol w:w="1944"/>
        <w:gridCol w:w="8568"/>
      </w:tblGrid>
      <w:tr>
        <w:tc>
          <w:tcPr>
            <w:tcW w:type="dxa" w:w="4968"/>
            <w:vAlign w:val="center"/>
            <w:shd w:fill="F5F6F8"/>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color w:val="1F2937"/>
                <w:sz w:val="19"/>
              </w:rPr>
              <w:t>Version</w:t>
            </w:r>
          </w:p>
        </w:tc>
        <w:tc>
          <w:tcPr>
            <w:tcW w:type="dxa" w:w="4968"/>
            <w:vAlign w:val="center"/>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val="0"/>
                <w:color w:val="1F2937"/>
                <w:sz w:val="19"/>
              </w:rPr>
              <w:t>1.0</w:t>
            </w:r>
          </w:p>
        </w:tc>
      </w:tr>
      <w:tr>
        <w:tc>
          <w:tcPr>
            <w:tcW w:type="dxa" w:w="4968"/>
            <w:vAlign w:val="center"/>
            <w:shd w:fill="F5F6F8"/>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color w:val="1F2937"/>
                <w:sz w:val="19"/>
              </w:rPr>
              <w:t>Effective Date</w:t>
            </w:r>
          </w:p>
        </w:tc>
        <w:tc>
          <w:tcPr>
            <w:tcW w:type="dxa" w:w="4968"/>
            <w:vAlign w:val="center"/>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val="0"/>
                <w:color w:val="1F2937"/>
                <w:sz w:val="19"/>
              </w:rPr>
              <w:t>24 August 2026</w:t>
            </w:r>
          </w:p>
        </w:tc>
      </w:tr>
      <w:tr>
        <w:tc>
          <w:tcPr>
            <w:tcW w:type="dxa" w:w="4968"/>
            <w:vAlign w:val="center"/>
            <w:shd w:fill="F5F6F8"/>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color w:val="1F2937"/>
                <w:sz w:val="19"/>
              </w:rPr>
              <w:t>Last Updated</w:t>
            </w:r>
          </w:p>
        </w:tc>
        <w:tc>
          <w:tcPr>
            <w:tcW w:type="dxa" w:w="4968"/>
            <w:vAlign w:val="center"/>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val="0"/>
                <w:color w:val="1F2937"/>
                <w:sz w:val="19"/>
              </w:rPr>
              <w:t>24 August 2026</w:t>
            </w:r>
          </w:p>
        </w:tc>
      </w:tr>
    </w:tbl>
    <w:p>
      <w:pPr>
        <w:spacing w:after="40"/>
      </w:pPr>
    </w:p>
    <w:p>
      <w:pPr>
        <w:pStyle w:val="Heading1"/>
        <w:keepNext/>
      </w:pPr>
      <w:r>
        <w:t>1. Introduction</w:t>
      </w:r>
    </w:p>
    <w:p>
      <w:pPr>
        <w:keepLines w:val="0"/>
      </w:pPr>
      <w:r>
        <w:rPr>
          <w:rFonts w:ascii="MTN Brighter Sans" w:hAnsi="MTN Brighter Sans" w:eastAsia="MTN Brighter Sans"/>
          <w:b w:val="0"/>
          <w:i w:val="0"/>
          <w:color w:val="1F2937"/>
          <w:sz w:val="22"/>
        </w:rPr>
        <w:t>Koineckta respects your privacy and is committed to protecting personal data entrusted to us.</w:t>
      </w:r>
    </w:p>
    <w:p>
      <w:pPr>
        <w:keepLines w:val="0"/>
      </w:pPr>
      <w:r>
        <w:rPr>
          <w:rFonts w:ascii="MTN Brighter Sans" w:hAnsi="MTN Brighter Sans" w:eastAsia="MTN Brighter Sans"/>
          <w:b w:val="0"/>
          <w:i w:val="0"/>
          <w:color w:val="1F2937"/>
          <w:sz w:val="22"/>
        </w:rPr>
        <w:t>This Privacy Policy explains how personal data is collected, used, stored, shared, protected and otherwise processed when you access or use the Koineckta websites, mobile or web applications, merchant portals, APIs, payment services, customer-support channels and related products or services collectively referred to as the “Services.”</w:t>
      </w:r>
    </w:p>
    <w:p>
      <w:pPr>
        <w:keepLines w:val="0"/>
      </w:pPr>
      <w:r>
        <w:rPr>
          <w:rFonts w:ascii="MTN Brighter Sans" w:hAnsi="MTN Brighter Sans" w:eastAsia="MTN Brighter Sans"/>
          <w:b w:val="0"/>
          <w:i w:val="0"/>
          <w:color w:val="1F2937"/>
          <w:sz w:val="22"/>
        </w:rPr>
        <w:t>Koineckta is a brand and service operated by KOINECKTA TECHNOLOGIES LIMITED, incorporated under the laws of the Federal Republic of Nigeria with registered address at Plot 2, Road 2, Ikota Villa Estate, Lekki, Lagos Island LGA, Lagos State 101342, Nigeria (“Koineckta”, “we”, “us” or “our”).</w:t>
      </w:r>
    </w:p>
    <w:p>
      <w:pPr>
        <w:keepLines w:val="0"/>
      </w:pPr>
      <w:r>
        <w:rPr>
          <w:rFonts w:ascii="MTN Brighter Sans" w:hAnsi="MTN Brighter Sans" w:eastAsia="MTN Brighter Sans"/>
          <w:b w:val="0"/>
          <w:i w:val="0"/>
          <w:color w:val="1F2937"/>
          <w:sz w:val="22"/>
        </w:rPr>
        <w:t>This Policy is intended to comply with applicable privacy and data-protection requirements, including the Nigeria Data Protection Act 2023 (“NDPA”), applicable directives and guidance issued by the Nigeria Data Protection Commission (“NDPC”), and other applicable laws.</w:t>
      </w:r>
    </w:p>
    <w:p>
      <w:pPr>
        <w:keepLines w:val="0"/>
      </w:pPr>
      <w:r>
        <w:rPr>
          <w:rFonts w:ascii="MTN Brighter Sans" w:hAnsi="MTN Brighter Sans" w:eastAsia="MTN Brighter Sans"/>
          <w:b w:val="0"/>
          <w:i w:val="0"/>
          <w:color w:val="1F2937"/>
          <w:sz w:val="22"/>
        </w:rPr>
        <w:t>By using the Services, you acknowledge that you have read this Privacy Policy.</w:t>
      </w:r>
    </w:p>
    <w:p>
      <w:pPr>
        <w:pStyle w:val="Heading1"/>
        <w:keepNext/>
      </w:pPr>
      <w:r>
        <w:t>2. Scope</w:t>
      </w:r>
    </w:p>
    <w:p>
      <w:pPr>
        <w:keepLines w:val="0"/>
      </w:pPr>
      <w:r>
        <w:rPr>
          <w:rFonts w:ascii="MTN Brighter Sans" w:hAnsi="MTN Brighter Sans" w:eastAsia="MTN Brighter Sans"/>
          <w:b w:val="0"/>
          <w:i w:val="0"/>
          <w:color w:val="1F2937"/>
          <w:sz w:val="22"/>
        </w:rPr>
        <w:t>This Privacy Policy applies to personal data processed in connection with:</w:t>
      </w:r>
    </w:p>
    <w:p>
      <w:pPr>
        <w:pStyle w:val="ListBullet"/>
        <w:spacing w:after="60"/>
        <w:ind w:left="331" w:hanging="202"/>
      </w:pPr>
      <w:r>
        <w:rPr>
          <w:rFonts w:ascii="MTN Brighter Sans" w:hAnsi="MTN Brighter Sans" w:eastAsia="MTN Brighter Sans"/>
          <w:sz w:val="22"/>
        </w:rPr>
        <w:t>koineckta.com and other Koineckta-controlled domains and subdomains;</w:t>
      </w:r>
    </w:p>
    <w:p>
      <w:pPr>
        <w:pStyle w:val="ListBullet"/>
        <w:spacing w:after="60"/>
        <w:ind w:left="331" w:hanging="202"/>
      </w:pPr>
      <w:r>
        <w:rPr>
          <w:rFonts w:ascii="MTN Brighter Sans" w:hAnsi="MTN Brighter Sans" w:eastAsia="MTN Brighter Sans"/>
          <w:sz w:val="22"/>
        </w:rPr>
        <w:t>Koineckta mobile and web applications;</w:t>
      </w:r>
    </w:p>
    <w:p>
      <w:pPr>
        <w:pStyle w:val="ListBullet"/>
        <w:spacing w:after="60"/>
        <w:ind w:left="331" w:hanging="202"/>
      </w:pPr>
      <w:r>
        <w:rPr>
          <w:rFonts w:ascii="MTN Brighter Sans" w:hAnsi="MTN Brighter Sans" w:eastAsia="MTN Brighter Sans"/>
          <w:sz w:val="22"/>
        </w:rPr>
        <w:t>individual and merchant accounts;</w:t>
      </w:r>
    </w:p>
    <w:p>
      <w:pPr>
        <w:pStyle w:val="ListBullet"/>
        <w:spacing w:after="60"/>
        <w:ind w:left="331" w:hanging="202"/>
      </w:pPr>
      <w:r>
        <w:rPr>
          <w:rFonts w:ascii="MTN Brighter Sans" w:hAnsi="MTN Brighter Sans" w:eastAsia="MTN Brighter Sans"/>
          <w:sz w:val="22"/>
        </w:rPr>
        <w:t>digital-asset payment and wallet functionality;</w:t>
      </w:r>
    </w:p>
    <w:p>
      <w:pPr>
        <w:pStyle w:val="ListBullet"/>
        <w:spacing w:after="60"/>
        <w:ind w:left="331" w:hanging="202"/>
      </w:pPr>
      <w:r>
        <w:rPr>
          <w:rFonts w:ascii="MTN Brighter Sans" w:hAnsi="MTN Brighter Sans" w:eastAsia="MTN Brighter Sans"/>
          <w:sz w:val="22"/>
        </w:rPr>
        <w:t>bank and mobile-money settlement services;</w:t>
      </w:r>
    </w:p>
    <w:p>
      <w:pPr>
        <w:pStyle w:val="ListBullet"/>
        <w:spacing w:after="60"/>
        <w:ind w:left="331" w:hanging="202"/>
      </w:pPr>
      <w:r>
        <w:rPr>
          <w:rFonts w:ascii="MTN Brighter Sans" w:hAnsi="MTN Brighter Sans" w:eastAsia="MTN Brighter Sans"/>
          <w:sz w:val="22"/>
        </w:rPr>
        <w:t>payment links, QR payments and checkout services;</w:t>
      </w:r>
    </w:p>
    <w:p>
      <w:pPr>
        <w:pStyle w:val="ListBullet"/>
        <w:spacing w:after="60"/>
        <w:ind w:left="331" w:hanging="202"/>
      </w:pPr>
      <w:r>
        <w:rPr>
          <w:rFonts w:ascii="MTN Brighter Sans" w:hAnsi="MTN Brighter Sans" w:eastAsia="MTN Brighter Sans"/>
          <w:sz w:val="22"/>
        </w:rPr>
        <w:t>merchant dashboards;</w:t>
      </w:r>
    </w:p>
    <w:p>
      <w:pPr>
        <w:pStyle w:val="ListBullet"/>
        <w:spacing w:after="60"/>
        <w:ind w:left="331" w:hanging="202"/>
      </w:pPr>
      <w:r>
        <w:rPr>
          <w:rFonts w:ascii="MTN Brighter Sans" w:hAnsi="MTN Brighter Sans" w:eastAsia="MTN Brighter Sans"/>
          <w:sz w:val="22"/>
        </w:rPr>
        <w:t>APIs and webhooks;</w:t>
      </w:r>
    </w:p>
    <w:p>
      <w:pPr>
        <w:pStyle w:val="ListBullet"/>
        <w:spacing w:after="60"/>
        <w:ind w:left="331" w:hanging="202"/>
      </w:pPr>
      <w:r>
        <w:rPr>
          <w:rFonts w:ascii="MTN Brighter Sans" w:hAnsi="MTN Brighter Sans" w:eastAsia="MTN Brighter Sans"/>
          <w:sz w:val="22"/>
        </w:rPr>
        <w:t>account registration, KYC and KYB processes;</w:t>
      </w:r>
    </w:p>
    <w:p>
      <w:pPr>
        <w:pStyle w:val="ListBullet"/>
        <w:spacing w:after="60"/>
        <w:ind w:left="331" w:hanging="202"/>
      </w:pPr>
      <w:r>
        <w:rPr>
          <w:rFonts w:ascii="MTN Brighter Sans" w:hAnsi="MTN Brighter Sans" w:eastAsia="MTN Brighter Sans"/>
          <w:sz w:val="22"/>
        </w:rPr>
        <w:t>customer-support interactions;</w:t>
      </w:r>
    </w:p>
    <w:p>
      <w:pPr>
        <w:pStyle w:val="ListBullet"/>
        <w:spacing w:after="60"/>
        <w:ind w:left="331" w:hanging="202"/>
      </w:pPr>
      <w:r>
        <w:rPr>
          <w:rFonts w:ascii="MTN Brighter Sans" w:hAnsi="MTN Brighter Sans" w:eastAsia="MTN Brighter Sans"/>
          <w:sz w:val="22"/>
        </w:rPr>
        <w:t>marketing, newsletters and product communications; and</w:t>
      </w:r>
    </w:p>
    <w:p>
      <w:pPr>
        <w:pStyle w:val="ListBullet"/>
        <w:spacing w:after="60"/>
        <w:ind w:left="331" w:hanging="202"/>
      </w:pPr>
      <w:r>
        <w:rPr>
          <w:rFonts w:ascii="MTN Brighter Sans" w:hAnsi="MTN Brighter Sans" w:eastAsia="MTN Brighter Sans"/>
          <w:sz w:val="22"/>
        </w:rPr>
        <w:t>fraud prevention, security, compliance and transaction monitoring.</w:t>
      </w:r>
    </w:p>
    <w:p>
      <w:pPr>
        <w:keepLines w:val="0"/>
      </w:pPr>
      <w:r>
        <w:rPr>
          <w:rFonts w:ascii="MTN Brighter Sans" w:hAnsi="MTN Brighter Sans" w:eastAsia="MTN Brighter Sans"/>
          <w:b w:val="0"/>
          <w:i w:val="0"/>
          <w:color w:val="1F2937"/>
          <w:sz w:val="22"/>
        </w:rPr>
        <w:t>Third-party websites, wallets, banks, mobile-money operators or services accessible through Koineckta may operate under their own privacy policies.</w:t>
      </w:r>
    </w:p>
    <w:p>
      <w:pPr>
        <w:pStyle w:val="Heading1"/>
        <w:keepNext/>
      </w:pPr>
      <w:r>
        <w:t>3. Personal Data We Collect</w:t>
      </w:r>
    </w:p>
    <w:p>
      <w:pPr>
        <w:keepLines w:val="0"/>
      </w:pPr>
      <w:r>
        <w:rPr>
          <w:rFonts w:ascii="MTN Brighter Sans" w:hAnsi="MTN Brighter Sans" w:eastAsia="MTN Brighter Sans"/>
          <w:b w:val="0"/>
          <w:i w:val="0"/>
          <w:color w:val="1F2937"/>
          <w:sz w:val="22"/>
        </w:rPr>
        <w:t>Depending on the Services you use, we may collect the following categories of personal data.</w:t>
      </w:r>
    </w:p>
    <w:p>
      <w:pPr>
        <w:pStyle w:val="Heading2"/>
        <w:keepNext/>
      </w:pPr>
      <w:r>
        <w:t>3.1 Identity and Contact Information</w:t>
      </w:r>
    </w:p>
    <w:p>
      <w:pPr>
        <w:keepLines w:val="0"/>
      </w:pPr>
      <w:r>
        <w:rPr>
          <w:rFonts w:ascii="MTN Brighter Sans" w:hAnsi="MTN Brighter Sans" w:eastAsia="MTN Brighter Sans"/>
          <w:b w:val="0"/>
          <w:i w:val="0"/>
          <w:color w:val="1F2937"/>
          <w:sz w:val="22"/>
        </w:rPr>
        <w:t>This may include:</w:t>
      </w:r>
    </w:p>
    <w:p>
      <w:pPr>
        <w:pStyle w:val="ListBullet"/>
        <w:spacing w:after="60"/>
        <w:ind w:left="331" w:hanging="202"/>
      </w:pPr>
      <w:r>
        <w:rPr>
          <w:rFonts w:ascii="MTN Brighter Sans" w:hAnsi="MTN Brighter Sans" w:eastAsia="MTN Brighter Sans"/>
          <w:sz w:val="22"/>
        </w:rPr>
        <w:t>full name;</w:t>
      </w:r>
    </w:p>
    <w:p>
      <w:pPr>
        <w:pStyle w:val="ListBullet"/>
        <w:spacing w:after="60"/>
        <w:ind w:left="331" w:hanging="202"/>
      </w:pPr>
      <w:r>
        <w:rPr>
          <w:rFonts w:ascii="MTN Brighter Sans" w:hAnsi="MTN Brighter Sans" w:eastAsia="MTN Brighter Sans"/>
          <w:sz w:val="22"/>
        </w:rPr>
        <w:t>date of birth;</w:t>
      </w:r>
    </w:p>
    <w:p>
      <w:pPr>
        <w:pStyle w:val="ListBullet"/>
        <w:spacing w:after="60"/>
        <w:ind w:left="331" w:hanging="202"/>
      </w:pPr>
      <w:r>
        <w:rPr>
          <w:rFonts w:ascii="MTN Brighter Sans" w:hAnsi="MTN Brighter Sans" w:eastAsia="MTN Brighter Sans"/>
          <w:sz w:val="22"/>
        </w:rPr>
        <w:t>nationality;</w:t>
      </w:r>
    </w:p>
    <w:p>
      <w:pPr>
        <w:pStyle w:val="ListBullet"/>
        <w:spacing w:after="60"/>
        <w:ind w:left="331" w:hanging="202"/>
      </w:pPr>
      <w:r>
        <w:rPr>
          <w:rFonts w:ascii="MTN Brighter Sans" w:hAnsi="MTN Brighter Sans" w:eastAsia="MTN Brighter Sans"/>
          <w:sz w:val="22"/>
        </w:rPr>
        <w:t>residential or business address;</w:t>
      </w:r>
    </w:p>
    <w:p>
      <w:pPr>
        <w:pStyle w:val="ListBullet"/>
        <w:spacing w:after="60"/>
        <w:ind w:left="331" w:hanging="202"/>
      </w:pPr>
      <w:r>
        <w:rPr>
          <w:rFonts w:ascii="MTN Brighter Sans" w:hAnsi="MTN Brighter Sans" w:eastAsia="MTN Brighter Sans"/>
          <w:sz w:val="22"/>
        </w:rPr>
        <w:t>email address;</w:t>
      </w:r>
    </w:p>
    <w:p>
      <w:pPr>
        <w:pStyle w:val="ListBullet"/>
        <w:spacing w:after="60"/>
        <w:ind w:left="331" w:hanging="202"/>
      </w:pPr>
      <w:r>
        <w:rPr>
          <w:rFonts w:ascii="MTN Brighter Sans" w:hAnsi="MTN Brighter Sans" w:eastAsia="MTN Brighter Sans"/>
          <w:sz w:val="22"/>
        </w:rPr>
        <w:t>telephone number;</w:t>
      </w:r>
    </w:p>
    <w:p>
      <w:pPr>
        <w:pStyle w:val="ListBullet"/>
        <w:spacing w:after="60"/>
        <w:ind w:left="331" w:hanging="202"/>
      </w:pPr>
      <w:r>
        <w:rPr>
          <w:rFonts w:ascii="MTN Brighter Sans" w:hAnsi="MTN Brighter Sans" w:eastAsia="MTN Brighter Sans"/>
          <w:sz w:val="22"/>
        </w:rPr>
        <w:t>gender, where legally required;</w:t>
      </w:r>
    </w:p>
    <w:p>
      <w:pPr>
        <w:pStyle w:val="ListBullet"/>
        <w:spacing w:after="60"/>
        <w:ind w:left="331" w:hanging="202"/>
      </w:pPr>
      <w:r>
        <w:rPr>
          <w:rFonts w:ascii="MTN Brighter Sans" w:hAnsi="MTN Brighter Sans" w:eastAsia="MTN Brighter Sans"/>
          <w:sz w:val="22"/>
        </w:rPr>
        <w:t>government-issued identification details;</w:t>
      </w:r>
    </w:p>
    <w:p>
      <w:pPr>
        <w:pStyle w:val="ListBullet"/>
        <w:spacing w:after="60"/>
        <w:ind w:left="331" w:hanging="202"/>
      </w:pPr>
      <w:r>
        <w:rPr>
          <w:rFonts w:ascii="MTN Brighter Sans" w:hAnsi="MTN Brighter Sans" w:eastAsia="MTN Brighter Sans"/>
          <w:sz w:val="22"/>
        </w:rPr>
        <w:t>photograph; and</w:t>
      </w:r>
    </w:p>
    <w:p>
      <w:pPr>
        <w:pStyle w:val="ListBullet"/>
        <w:spacing w:after="60"/>
        <w:ind w:left="331" w:hanging="202"/>
      </w:pPr>
      <w:r>
        <w:rPr>
          <w:rFonts w:ascii="MTN Brighter Sans" w:hAnsi="MTN Brighter Sans" w:eastAsia="MTN Brighter Sans"/>
          <w:sz w:val="22"/>
        </w:rPr>
        <w:t>other information required to establish or verify identity.</w:t>
      </w:r>
    </w:p>
    <w:p>
      <w:pPr>
        <w:pStyle w:val="Heading2"/>
        <w:keepNext/>
      </w:pPr>
      <w:r>
        <w:t>3.2 KYC, KYB and Compliance Information</w:t>
      </w:r>
    </w:p>
    <w:p>
      <w:pPr>
        <w:keepLines w:val="0"/>
      </w:pPr>
      <w:r>
        <w:rPr>
          <w:rFonts w:ascii="MTN Brighter Sans" w:hAnsi="MTN Brighter Sans" w:eastAsia="MTN Brighter Sans"/>
          <w:b w:val="0"/>
          <w:i w:val="0"/>
          <w:color w:val="1F2937"/>
          <w:sz w:val="22"/>
        </w:rPr>
        <w:t>For individuals or businesses subject to verification, we may process:</w:t>
      </w:r>
    </w:p>
    <w:p>
      <w:pPr>
        <w:pStyle w:val="ListBullet"/>
        <w:spacing w:after="60"/>
        <w:ind w:left="331" w:hanging="202"/>
      </w:pPr>
      <w:r>
        <w:rPr>
          <w:rFonts w:ascii="MTN Brighter Sans" w:hAnsi="MTN Brighter Sans" w:eastAsia="MTN Brighter Sans"/>
          <w:sz w:val="22"/>
        </w:rPr>
        <w:t>national identification documents;</w:t>
      </w:r>
    </w:p>
    <w:p>
      <w:pPr>
        <w:pStyle w:val="ListBullet"/>
        <w:spacing w:after="60"/>
        <w:ind w:left="331" w:hanging="202"/>
      </w:pPr>
      <w:r>
        <w:rPr>
          <w:rFonts w:ascii="MTN Brighter Sans" w:hAnsi="MTN Brighter Sans" w:eastAsia="MTN Brighter Sans"/>
          <w:sz w:val="22"/>
        </w:rPr>
        <w:t>passports, driver’s licences or other approved documents;</w:t>
      </w:r>
    </w:p>
    <w:p>
      <w:pPr>
        <w:pStyle w:val="ListBullet"/>
        <w:spacing w:after="60"/>
        <w:ind w:left="331" w:hanging="202"/>
      </w:pPr>
      <w:r>
        <w:rPr>
          <w:rFonts w:ascii="MTN Brighter Sans" w:hAnsi="MTN Brighter Sans" w:eastAsia="MTN Brighter Sans"/>
          <w:sz w:val="22"/>
        </w:rPr>
        <w:t>Bank Verification Number or equivalent identifiers where lawfully required;</w:t>
      </w:r>
    </w:p>
    <w:p>
      <w:pPr>
        <w:pStyle w:val="ListBullet"/>
        <w:spacing w:after="60"/>
        <w:ind w:left="331" w:hanging="202"/>
      </w:pPr>
      <w:r>
        <w:rPr>
          <w:rFonts w:ascii="MTN Brighter Sans" w:hAnsi="MTN Brighter Sans" w:eastAsia="MTN Brighter Sans"/>
          <w:sz w:val="22"/>
        </w:rPr>
        <w:t>facial verification or biometric information where necessary and permitted by law;</w:t>
      </w:r>
    </w:p>
    <w:p>
      <w:pPr>
        <w:pStyle w:val="ListBullet"/>
        <w:spacing w:after="60"/>
        <w:ind w:left="331" w:hanging="202"/>
      </w:pPr>
      <w:r>
        <w:rPr>
          <w:rFonts w:ascii="MTN Brighter Sans" w:hAnsi="MTN Brighter Sans" w:eastAsia="MTN Brighter Sans"/>
          <w:sz w:val="22"/>
        </w:rPr>
        <w:t>proof of address;</w:t>
      </w:r>
    </w:p>
    <w:p>
      <w:pPr>
        <w:pStyle w:val="ListBullet"/>
        <w:spacing w:after="60"/>
        <w:ind w:left="331" w:hanging="202"/>
      </w:pPr>
      <w:r>
        <w:rPr>
          <w:rFonts w:ascii="MTN Brighter Sans" w:hAnsi="MTN Brighter Sans" w:eastAsia="MTN Brighter Sans"/>
          <w:sz w:val="22"/>
        </w:rPr>
        <w:t>company registration information;</w:t>
      </w:r>
    </w:p>
    <w:p>
      <w:pPr>
        <w:pStyle w:val="ListBullet"/>
        <w:spacing w:after="60"/>
        <w:ind w:left="331" w:hanging="202"/>
      </w:pPr>
      <w:r>
        <w:rPr>
          <w:rFonts w:ascii="MTN Brighter Sans" w:hAnsi="MTN Brighter Sans" w:eastAsia="MTN Brighter Sans"/>
          <w:sz w:val="22"/>
        </w:rPr>
        <w:t>directors, shareholders and beneficial-owner information;</w:t>
      </w:r>
    </w:p>
    <w:p>
      <w:pPr>
        <w:pStyle w:val="ListBullet"/>
        <w:spacing w:after="60"/>
        <w:ind w:left="331" w:hanging="202"/>
      </w:pPr>
      <w:r>
        <w:rPr>
          <w:rFonts w:ascii="MTN Brighter Sans" w:hAnsi="MTN Brighter Sans" w:eastAsia="MTN Brighter Sans"/>
          <w:sz w:val="22"/>
        </w:rPr>
        <w:t>politically exposed person (“PEP”) screening information;</w:t>
      </w:r>
    </w:p>
    <w:p>
      <w:pPr>
        <w:pStyle w:val="ListBullet"/>
        <w:spacing w:after="60"/>
        <w:ind w:left="331" w:hanging="202"/>
      </w:pPr>
      <w:r>
        <w:rPr>
          <w:rFonts w:ascii="MTN Brighter Sans" w:hAnsi="MTN Brighter Sans" w:eastAsia="MTN Brighter Sans"/>
          <w:sz w:val="22"/>
        </w:rPr>
        <w:t>sanctions and watchlist results;</w:t>
      </w:r>
    </w:p>
    <w:p>
      <w:pPr>
        <w:pStyle w:val="ListBullet"/>
        <w:spacing w:after="60"/>
        <w:ind w:left="331" w:hanging="202"/>
      </w:pPr>
      <w:r>
        <w:rPr>
          <w:rFonts w:ascii="MTN Brighter Sans" w:hAnsi="MTN Brighter Sans" w:eastAsia="MTN Brighter Sans"/>
          <w:sz w:val="22"/>
        </w:rPr>
        <w:t>fraud-risk indicators; and</w:t>
      </w:r>
    </w:p>
    <w:p>
      <w:pPr>
        <w:pStyle w:val="ListBullet"/>
        <w:spacing w:after="60"/>
        <w:ind w:left="331" w:hanging="202"/>
      </w:pPr>
      <w:r>
        <w:rPr>
          <w:rFonts w:ascii="MTN Brighter Sans" w:hAnsi="MTN Brighter Sans" w:eastAsia="MTN Brighter Sans"/>
          <w:sz w:val="22"/>
        </w:rPr>
        <w:t>information required for anti-money-laundering, counter-terrorist-financing or other regulatory checks.</w:t>
      </w:r>
    </w:p>
    <w:p>
      <w:pPr>
        <w:keepLines w:val="0"/>
      </w:pPr>
      <w:r>
        <w:rPr>
          <w:rFonts w:ascii="MTN Brighter Sans" w:hAnsi="MTN Brighter Sans" w:eastAsia="MTN Brighter Sans"/>
          <w:b w:val="0"/>
          <w:i w:val="0"/>
          <w:color w:val="1F2937"/>
          <w:sz w:val="22"/>
        </w:rPr>
        <w:t>Where biometric or other sensitive personal data is processed, Koineckta will apply appropriate safeguards and lawful processing requirements.</w:t>
      </w:r>
    </w:p>
    <w:p>
      <w:pPr>
        <w:pStyle w:val="Heading2"/>
        <w:keepNext/>
      </w:pPr>
      <w:r>
        <w:t>3.3 Financial and Payment Information</w:t>
      </w:r>
    </w:p>
    <w:p>
      <w:pPr>
        <w:keepLines w:val="0"/>
      </w:pPr>
      <w:r>
        <w:rPr>
          <w:rFonts w:ascii="MTN Brighter Sans" w:hAnsi="MTN Brighter Sans" w:eastAsia="MTN Brighter Sans"/>
          <w:b w:val="0"/>
          <w:i w:val="0"/>
          <w:color w:val="1F2937"/>
          <w:sz w:val="22"/>
        </w:rPr>
        <w:t>This may include:</w:t>
      </w:r>
    </w:p>
    <w:p>
      <w:pPr>
        <w:pStyle w:val="ListBullet"/>
        <w:spacing w:after="60"/>
        <w:ind w:left="331" w:hanging="202"/>
      </w:pPr>
      <w:r>
        <w:rPr>
          <w:rFonts w:ascii="MTN Brighter Sans" w:hAnsi="MTN Brighter Sans" w:eastAsia="MTN Brighter Sans"/>
          <w:sz w:val="22"/>
        </w:rPr>
        <w:t>bank-account information;</w:t>
      </w:r>
    </w:p>
    <w:p>
      <w:pPr>
        <w:pStyle w:val="ListBullet"/>
        <w:spacing w:after="60"/>
        <w:ind w:left="331" w:hanging="202"/>
      </w:pPr>
      <w:r>
        <w:rPr>
          <w:rFonts w:ascii="MTN Brighter Sans" w:hAnsi="MTN Brighter Sans" w:eastAsia="MTN Brighter Sans"/>
          <w:sz w:val="22"/>
        </w:rPr>
        <w:t>mobile-money details;</w:t>
      </w:r>
    </w:p>
    <w:p>
      <w:pPr>
        <w:pStyle w:val="ListBullet"/>
        <w:spacing w:after="60"/>
        <w:ind w:left="331" w:hanging="202"/>
      </w:pPr>
      <w:r>
        <w:rPr>
          <w:rFonts w:ascii="MTN Brighter Sans" w:hAnsi="MTN Brighter Sans" w:eastAsia="MTN Brighter Sans"/>
          <w:sz w:val="22"/>
        </w:rPr>
        <w:t>payment references;</w:t>
      </w:r>
    </w:p>
    <w:p>
      <w:pPr>
        <w:pStyle w:val="ListBullet"/>
        <w:spacing w:after="60"/>
        <w:ind w:left="331" w:hanging="202"/>
      </w:pPr>
      <w:r>
        <w:rPr>
          <w:rFonts w:ascii="MTN Brighter Sans" w:hAnsi="MTN Brighter Sans" w:eastAsia="MTN Brighter Sans"/>
          <w:sz w:val="22"/>
        </w:rPr>
        <w:t>beneficiary details;</w:t>
      </w:r>
    </w:p>
    <w:p>
      <w:pPr>
        <w:pStyle w:val="ListBullet"/>
        <w:spacing w:after="60"/>
        <w:ind w:left="331" w:hanging="202"/>
      </w:pPr>
      <w:r>
        <w:rPr>
          <w:rFonts w:ascii="MTN Brighter Sans" w:hAnsi="MTN Brighter Sans" w:eastAsia="MTN Brighter Sans"/>
          <w:sz w:val="22"/>
        </w:rPr>
        <w:t>transaction values;</w:t>
      </w:r>
    </w:p>
    <w:p>
      <w:pPr>
        <w:pStyle w:val="ListBullet"/>
        <w:spacing w:after="60"/>
        <w:ind w:left="331" w:hanging="202"/>
      </w:pPr>
      <w:r>
        <w:rPr>
          <w:rFonts w:ascii="MTN Brighter Sans" w:hAnsi="MTN Brighter Sans" w:eastAsia="MTN Brighter Sans"/>
          <w:sz w:val="22"/>
        </w:rPr>
        <w:t>settlement information;</w:t>
      </w:r>
    </w:p>
    <w:p>
      <w:pPr>
        <w:pStyle w:val="ListBullet"/>
        <w:spacing w:after="60"/>
        <w:ind w:left="331" w:hanging="202"/>
      </w:pPr>
      <w:r>
        <w:rPr>
          <w:rFonts w:ascii="MTN Brighter Sans" w:hAnsi="MTN Brighter Sans" w:eastAsia="MTN Brighter Sans"/>
          <w:sz w:val="22"/>
        </w:rPr>
        <w:t>funding and withdrawal information; and</w:t>
      </w:r>
    </w:p>
    <w:p>
      <w:pPr>
        <w:pStyle w:val="ListBullet"/>
        <w:spacing w:after="60"/>
        <w:ind w:left="331" w:hanging="202"/>
      </w:pPr>
      <w:r>
        <w:rPr>
          <w:rFonts w:ascii="MTN Brighter Sans" w:hAnsi="MTN Brighter Sans" w:eastAsia="MTN Brighter Sans"/>
          <w:sz w:val="22"/>
        </w:rPr>
        <w:t>records associated with payment processing or reconciliation.</w:t>
      </w:r>
    </w:p>
    <w:p>
      <w:pPr>
        <w:keepLines w:val="0"/>
      </w:pPr>
      <w:r>
        <w:rPr>
          <w:rFonts w:ascii="MTN Brighter Sans" w:hAnsi="MTN Brighter Sans" w:eastAsia="MTN Brighter Sans"/>
          <w:b w:val="0"/>
          <w:i w:val="0"/>
          <w:color w:val="1F2937"/>
          <w:sz w:val="22"/>
        </w:rPr>
        <w:t>Koineckta does not intentionally collect full payment-card credentials unless required for a supported service and processed through an appropriately secured payment provider.</w:t>
      </w:r>
    </w:p>
    <w:p>
      <w:pPr>
        <w:pStyle w:val="Heading2"/>
        <w:keepNext/>
      </w:pPr>
      <w:r>
        <w:t>3.4 Digital-Asset and Wallet Information</w:t>
      </w:r>
    </w:p>
    <w:p>
      <w:pPr>
        <w:keepLines w:val="0"/>
      </w:pPr>
      <w:r>
        <w:rPr>
          <w:rFonts w:ascii="MTN Brighter Sans" w:hAnsi="MTN Brighter Sans" w:eastAsia="MTN Brighter Sans"/>
          <w:b w:val="0"/>
          <w:i w:val="0"/>
          <w:color w:val="1F2937"/>
          <w:sz w:val="22"/>
        </w:rPr>
        <w:t>Depending on the wallet or transaction model, we may collect:</w:t>
      </w:r>
    </w:p>
    <w:p>
      <w:pPr>
        <w:pStyle w:val="ListBullet"/>
        <w:spacing w:after="60"/>
        <w:ind w:left="331" w:hanging="202"/>
      </w:pPr>
      <w:r>
        <w:rPr>
          <w:rFonts w:ascii="MTN Brighter Sans" w:hAnsi="MTN Brighter Sans" w:eastAsia="MTN Brighter Sans"/>
          <w:sz w:val="22"/>
        </w:rPr>
        <w:t>public wallet addresses;</w:t>
      </w:r>
    </w:p>
    <w:p>
      <w:pPr>
        <w:pStyle w:val="ListBullet"/>
        <w:spacing w:after="60"/>
        <w:ind w:left="331" w:hanging="202"/>
      </w:pPr>
      <w:r>
        <w:rPr>
          <w:rFonts w:ascii="MTN Brighter Sans" w:hAnsi="MTN Brighter Sans" w:eastAsia="MTN Brighter Sans"/>
          <w:sz w:val="22"/>
        </w:rPr>
        <w:t>blockchain transaction identifiers;</w:t>
      </w:r>
    </w:p>
    <w:p>
      <w:pPr>
        <w:pStyle w:val="ListBullet"/>
        <w:spacing w:after="60"/>
        <w:ind w:left="331" w:hanging="202"/>
      </w:pPr>
      <w:r>
        <w:rPr>
          <w:rFonts w:ascii="MTN Brighter Sans" w:hAnsi="MTN Brighter Sans" w:eastAsia="MTN Brighter Sans"/>
          <w:sz w:val="22"/>
        </w:rPr>
        <w:t>supported asset and network information;</w:t>
      </w:r>
    </w:p>
    <w:p>
      <w:pPr>
        <w:pStyle w:val="ListBullet"/>
        <w:spacing w:after="60"/>
        <w:ind w:left="331" w:hanging="202"/>
      </w:pPr>
      <w:r>
        <w:rPr>
          <w:rFonts w:ascii="MTN Brighter Sans" w:hAnsi="MTN Brighter Sans" w:eastAsia="MTN Brighter Sans"/>
          <w:sz w:val="22"/>
        </w:rPr>
        <w:t>wallet type;</w:t>
      </w:r>
    </w:p>
    <w:p>
      <w:pPr>
        <w:pStyle w:val="ListBullet"/>
        <w:spacing w:after="60"/>
        <w:ind w:left="331" w:hanging="202"/>
      </w:pPr>
      <w:r>
        <w:rPr>
          <w:rFonts w:ascii="MTN Brighter Sans" w:hAnsi="MTN Brighter Sans" w:eastAsia="MTN Brighter Sans"/>
          <w:sz w:val="22"/>
        </w:rPr>
        <w:t>deposit and withdrawal information;</w:t>
      </w:r>
    </w:p>
    <w:p>
      <w:pPr>
        <w:pStyle w:val="ListBullet"/>
        <w:spacing w:after="60"/>
        <w:ind w:left="331" w:hanging="202"/>
      </w:pPr>
      <w:r>
        <w:rPr>
          <w:rFonts w:ascii="MTN Brighter Sans" w:hAnsi="MTN Brighter Sans" w:eastAsia="MTN Brighter Sans"/>
          <w:sz w:val="22"/>
        </w:rPr>
        <w:t>transaction history;</w:t>
      </w:r>
    </w:p>
    <w:p>
      <w:pPr>
        <w:pStyle w:val="ListBullet"/>
        <w:spacing w:after="60"/>
        <w:ind w:left="331" w:hanging="202"/>
      </w:pPr>
      <w:r>
        <w:rPr>
          <w:rFonts w:ascii="MTN Brighter Sans" w:hAnsi="MTN Brighter Sans" w:eastAsia="MTN Brighter Sans"/>
          <w:sz w:val="22"/>
        </w:rPr>
        <w:t>conversion instructions;</w:t>
      </w:r>
    </w:p>
    <w:p>
      <w:pPr>
        <w:pStyle w:val="ListBullet"/>
        <w:spacing w:after="60"/>
        <w:ind w:left="331" w:hanging="202"/>
      </w:pPr>
      <w:r>
        <w:rPr>
          <w:rFonts w:ascii="MTN Brighter Sans" w:hAnsi="MTN Brighter Sans" w:eastAsia="MTN Brighter Sans"/>
          <w:sz w:val="22"/>
        </w:rPr>
        <w:t>blockchain analytics and risk information; and</w:t>
      </w:r>
    </w:p>
    <w:p>
      <w:pPr>
        <w:pStyle w:val="ListBullet"/>
        <w:spacing w:after="60"/>
        <w:ind w:left="331" w:hanging="202"/>
      </w:pPr>
      <w:r>
        <w:rPr>
          <w:rFonts w:ascii="MTN Brighter Sans" w:hAnsi="MTN Brighter Sans" w:eastAsia="MTN Brighter Sans"/>
          <w:sz w:val="22"/>
        </w:rPr>
        <w:t>other information required to complete or investigate transactions.</w:t>
      </w:r>
    </w:p>
    <w:p>
      <w:pPr>
        <w:keepLines w:val="0"/>
      </w:pPr>
      <w:r>
        <w:rPr>
          <w:rFonts w:ascii="MTN Brighter Sans" w:hAnsi="MTN Brighter Sans" w:eastAsia="MTN Brighter Sans"/>
          <w:b w:val="0"/>
          <w:i w:val="0"/>
          <w:color w:val="1F2937"/>
          <w:sz w:val="22"/>
        </w:rPr>
        <w:t>Public blockchain information may remain publicly accessible independently of Koineckta.</w:t>
      </w:r>
    </w:p>
    <w:p>
      <w:pPr>
        <w:pStyle w:val="Heading2"/>
        <w:keepNext/>
      </w:pPr>
      <w:r>
        <w:t>3.5 Merchant and Business Information</w:t>
      </w:r>
    </w:p>
    <w:p>
      <w:pPr>
        <w:keepLines w:val="0"/>
      </w:pPr>
      <w:r>
        <w:rPr>
          <w:rFonts w:ascii="MTN Brighter Sans" w:hAnsi="MTN Brighter Sans" w:eastAsia="MTN Brighter Sans"/>
          <w:b w:val="0"/>
          <w:i w:val="0"/>
          <w:color w:val="1F2937"/>
          <w:sz w:val="22"/>
        </w:rPr>
        <w:t>For merchants we may collect:</w:t>
      </w:r>
    </w:p>
    <w:p>
      <w:pPr>
        <w:pStyle w:val="ListBullet"/>
        <w:spacing w:after="60"/>
        <w:ind w:left="331" w:hanging="202"/>
      </w:pPr>
      <w:r>
        <w:rPr>
          <w:rFonts w:ascii="MTN Brighter Sans" w:hAnsi="MTN Brighter Sans" w:eastAsia="MTN Brighter Sans"/>
          <w:sz w:val="22"/>
        </w:rPr>
        <w:t>business name;</w:t>
      </w:r>
    </w:p>
    <w:p>
      <w:pPr>
        <w:pStyle w:val="ListBullet"/>
        <w:spacing w:after="60"/>
        <w:ind w:left="331" w:hanging="202"/>
      </w:pPr>
      <w:r>
        <w:rPr>
          <w:rFonts w:ascii="MTN Brighter Sans" w:hAnsi="MTN Brighter Sans" w:eastAsia="MTN Brighter Sans"/>
          <w:sz w:val="22"/>
        </w:rPr>
        <w:t>registration details;</w:t>
      </w:r>
    </w:p>
    <w:p>
      <w:pPr>
        <w:pStyle w:val="ListBullet"/>
        <w:spacing w:after="60"/>
        <w:ind w:left="331" w:hanging="202"/>
      </w:pPr>
      <w:r>
        <w:rPr>
          <w:rFonts w:ascii="MTN Brighter Sans" w:hAnsi="MTN Brighter Sans" w:eastAsia="MTN Brighter Sans"/>
          <w:sz w:val="22"/>
        </w:rPr>
        <w:t>industry and business type;</w:t>
      </w:r>
    </w:p>
    <w:p>
      <w:pPr>
        <w:pStyle w:val="ListBullet"/>
        <w:spacing w:after="60"/>
        <w:ind w:left="331" w:hanging="202"/>
      </w:pPr>
      <w:r>
        <w:rPr>
          <w:rFonts w:ascii="MTN Brighter Sans" w:hAnsi="MTN Brighter Sans" w:eastAsia="MTN Brighter Sans"/>
          <w:sz w:val="22"/>
        </w:rPr>
        <w:t>business address;</w:t>
      </w:r>
    </w:p>
    <w:p>
      <w:pPr>
        <w:pStyle w:val="ListBullet"/>
        <w:spacing w:after="60"/>
        <w:ind w:left="331" w:hanging="202"/>
      </w:pPr>
      <w:r>
        <w:rPr>
          <w:rFonts w:ascii="MTN Brighter Sans" w:hAnsi="MTN Brighter Sans" w:eastAsia="MTN Brighter Sans"/>
          <w:sz w:val="22"/>
        </w:rPr>
        <w:t>website and social-media details;</w:t>
      </w:r>
    </w:p>
    <w:p>
      <w:pPr>
        <w:pStyle w:val="ListBullet"/>
        <w:spacing w:after="60"/>
        <w:ind w:left="331" w:hanging="202"/>
      </w:pPr>
      <w:r>
        <w:rPr>
          <w:rFonts w:ascii="MTN Brighter Sans" w:hAnsi="MTN Brighter Sans" w:eastAsia="MTN Brighter Sans"/>
          <w:sz w:val="22"/>
        </w:rPr>
        <w:t>authorised representatives;</w:t>
      </w:r>
    </w:p>
    <w:p>
      <w:pPr>
        <w:pStyle w:val="ListBullet"/>
        <w:spacing w:after="60"/>
        <w:ind w:left="331" w:hanging="202"/>
      </w:pPr>
      <w:r>
        <w:rPr>
          <w:rFonts w:ascii="MTN Brighter Sans" w:hAnsi="MTN Brighter Sans" w:eastAsia="MTN Brighter Sans"/>
          <w:sz w:val="22"/>
        </w:rPr>
        <w:t>ownership and control information;</w:t>
      </w:r>
    </w:p>
    <w:p>
      <w:pPr>
        <w:pStyle w:val="ListBullet"/>
        <w:spacing w:after="60"/>
        <w:ind w:left="331" w:hanging="202"/>
      </w:pPr>
      <w:r>
        <w:rPr>
          <w:rFonts w:ascii="MTN Brighter Sans" w:hAnsi="MTN Brighter Sans" w:eastAsia="MTN Brighter Sans"/>
          <w:sz w:val="22"/>
        </w:rPr>
        <w:t>expected transaction volumes;</w:t>
      </w:r>
    </w:p>
    <w:p>
      <w:pPr>
        <w:pStyle w:val="ListBullet"/>
        <w:spacing w:after="60"/>
        <w:ind w:left="331" w:hanging="202"/>
      </w:pPr>
      <w:r>
        <w:rPr>
          <w:rFonts w:ascii="MTN Brighter Sans" w:hAnsi="MTN Brighter Sans" w:eastAsia="MTN Brighter Sans"/>
          <w:sz w:val="22"/>
        </w:rPr>
        <w:t>settlement preferences;</w:t>
      </w:r>
    </w:p>
    <w:p>
      <w:pPr>
        <w:pStyle w:val="ListBullet"/>
        <w:spacing w:after="60"/>
        <w:ind w:left="331" w:hanging="202"/>
      </w:pPr>
      <w:r>
        <w:rPr>
          <w:rFonts w:ascii="MTN Brighter Sans" w:hAnsi="MTN Brighter Sans" w:eastAsia="MTN Brighter Sans"/>
          <w:sz w:val="22"/>
        </w:rPr>
        <w:t>products or services offered; and</w:t>
      </w:r>
    </w:p>
    <w:p>
      <w:pPr>
        <w:pStyle w:val="ListBullet"/>
        <w:spacing w:after="60"/>
        <w:ind w:left="331" w:hanging="202"/>
      </w:pPr>
      <w:r>
        <w:rPr>
          <w:rFonts w:ascii="MTN Brighter Sans" w:hAnsi="MTN Brighter Sans" w:eastAsia="MTN Brighter Sans"/>
          <w:sz w:val="22"/>
        </w:rPr>
        <w:t>information needed for risk assessment and merchant onboarding.</w:t>
      </w:r>
    </w:p>
    <w:p>
      <w:pPr>
        <w:pStyle w:val="Heading2"/>
        <w:keepNext/>
      </w:pPr>
      <w:r>
        <w:t>3.6 Device and Technical Information</w:t>
      </w:r>
    </w:p>
    <w:p>
      <w:pPr>
        <w:keepLines w:val="0"/>
      </w:pPr>
      <w:r>
        <w:rPr>
          <w:rFonts w:ascii="MTN Brighter Sans" w:hAnsi="MTN Brighter Sans" w:eastAsia="MTN Brighter Sans"/>
          <w:b w:val="0"/>
          <w:i w:val="0"/>
          <w:color w:val="1F2937"/>
          <w:sz w:val="22"/>
        </w:rPr>
        <w:t>When you access the Services we may automatically collect:</w:t>
      </w:r>
    </w:p>
    <w:p>
      <w:pPr>
        <w:pStyle w:val="ListBullet"/>
        <w:spacing w:after="60"/>
        <w:ind w:left="331" w:hanging="202"/>
      </w:pPr>
      <w:r>
        <w:rPr>
          <w:rFonts w:ascii="MTN Brighter Sans" w:hAnsi="MTN Brighter Sans" w:eastAsia="MTN Brighter Sans"/>
          <w:sz w:val="22"/>
        </w:rPr>
        <w:t>IP address;</w:t>
      </w:r>
    </w:p>
    <w:p>
      <w:pPr>
        <w:pStyle w:val="ListBullet"/>
        <w:spacing w:after="60"/>
        <w:ind w:left="331" w:hanging="202"/>
      </w:pPr>
      <w:r>
        <w:rPr>
          <w:rFonts w:ascii="MTN Brighter Sans" w:hAnsi="MTN Brighter Sans" w:eastAsia="MTN Brighter Sans"/>
          <w:sz w:val="22"/>
        </w:rPr>
        <w:t>device identifiers;</w:t>
      </w:r>
    </w:p>
    <w:p>
      <w:pPr>
        <w:pStyle w:val="ListBullet"/>
        <w:spacing w:after="60"/>
        <w:ind w:left="331" w:hanging="202"/>
      </w:pPr>
      <w:r>
        <w:rPr>
          <w:rFonts w:ascii="MTN Brighter Sans" w:hAnsi="MTN Brighter Sans" w:eastAsia="MTN Brighter Sans"/>
          <w:sz w:val="22"/>
        </w:rPr>
        <w:t>operating system;</w:t>
      </w:r>
    </w:p>
    <w:p>
      <w:pPr>
        <w:pStyle w:val="ListBullet"/>
        <w:spacing w:after="60"/>
        <w:ind w:left="331" w:hanging="202"/>
      </w:pPr>
      <w:r>
        <w:rPr>
          <w:rFonts w:ascii="MTN Brighter Sans" w:hAnsi="MTN Brighter Sans" w:eastAsia="MTN Brighter Sans"/>
          <w:sz w:val="22"/>
        </w:rPr>
        <w:t>browser type;</w:t>
      </w:r>
    </w:p>
    <w:p>
      <w:pPr>
        <w:pStyle w:val="ListBullet"/>
        <w:spacing w:after="60"/>
        <w:ind w:left="331" w:hanging="202"/>
      </w:pPr>
      <w:r>
        <w:rPr>
          <w:rFonts w:ascii="MTN Brighter Sans" w:hAnsi="MTN Brighter Sans" w:eastAsia="MTN Brighter Sans"/>
          <w:sz w:val="22"/>
        </w:rPr>
        <w:t>login information;</w:t>
      </w:r>
    </w:p>
    <w:p>
      <w:pPr>
        <w:pStyle w:val="ListBullet"/>
        <w:spacing w:after="60"/>
        <w:ind w:left="331" w:hanging="202"/>
      </w:pPr>
      <w:r>
        <w:rPr>
          <w:rFonts w:ascii="MTN Brighter Sans" w:hAnsi="MTN Brighter Sans" w:eastAsia="MTN Brighter Sans"/>
          <w:sz w:val="22"/>
        </w:rPr>
        <w:t>session information;</w:t>
      </w:r>
    </w:p>
    <w:p>
      <w:pPr>
        <w:pStyle w:val="ListBullet"/>
        <w:spacing w:after="60"/>
        <w:ind w:left="331" w:hanging="202"/>
      </w:pPr>
      <w:r>
        <w:rPr>
          <w:rFonts w:ascii="MTN Brighter Sans" w:hAnsi="MTN Brighter Sans" w:eastAsia="MTN Brighter Sans"/>
          <w:sz w:val="22"/>
        </w:rPr>
        <w:t>approximate location derived from IP address;</w:t>
      </w:r>
    </w:p>
    <w:p>
      <w:pPr>
        <w:pStyle w:val="ListBullet"/>
        <w:spacing w:after="60"/>
        <w:ind w:left="331" w:hanging="202"/>
      </w:pPr>
      <w:r>
        <w:rPr>
          <w:rFonts w:ascii="MTN Brighter Sans" w:hAnsi="MTN Brighter Sans" w:eastAsia="MTN Brighter Sans"/>
          <w:sz w:val="22"/>
        </w:rPr>
        <w:t>device and application events;</w:t>
      </w:r>
    </w:p>
    <w:p>
      <w:pPr>
        <w:pStyle w:val="ListBullet"/>
        <w:spacing w:after="60"/>
        <w:ind w:left="331" w:hanging="202"/>
      </w:pPr>
      <w:r>
        <w:rPr>
          <w:rFonts w:ascii="MTN Brighter Sans" w:hAnsi="MTN Brighter Sans" w:eastAsia="MTN Brighter Sans"/>
          <w:sz w:val="22"/>
        </w:rPr>
        <w:t>security logs;</w:t>
      </w:r>
    </w:p>
    <w:p>
      <w:pPr>
        <w:pStyle w:val="ListBullet"/>
        <w:spacing w:after="60"/>
        <w:ind w:left="331" w:hanging="202"/>
      </w:pPr>
      <w:r>
        <w:rPr>
          <w:rFonts w:ascii="MTN Brighter Sans" w:hAnsi="MTN Brighter Sans" w:eastAsia="MTN Brighter Sans"/>
          <w:sz w:val="22"/>
        </w:rPr>
        <w:t>crash reports; and</w:t>
      </w:r>
    </w:p>
    <w:p>
      <w:pPr>
        <w:pStyle w:val="ListBullet"/>
        <w:spacing w:after="60"/>
        <w:ind w:left="331" w:hanging="202"/>
      </w:pPr>
      <w:r>
        <w:rPr>
          <w:rFonts w:ascii="MTN Brighter Sans" w:hAnsi="MTN Brighter Sans" w:eastAsia="MTN Brighter Sans"/>
          <w:sz w:val="22"/>
        </w:rPr>
        <w:t>usage information.</w:t>
      </w:r>
    </w:p>
    <w:p>
      <w:pPr>
        <w:pStyle w:val="Heading2"/>
        <w:keepNext/>
      </w:pPr>
      <w:r>
        <w:t>3.7 Communications</w:t>
      </w:r>
    </w:p>
    <w:p>
      <w:pPr>
        <w:keepLines w:val="0"/>
      </w:pPr>
      <w:r>
        <w:rPr>
          <w:rFonts w:ascii="MTN Brighter Sans" w:hAnsi="MTN Brighter Sans" w:eastAsia="MTN Brighter Sans"/>
          <w:b w:val="0"/>
          <w:i w:val="0"/>
          <w:color w:val="1F2937"/>
          <w:sz w:val="22"/>
        </w:rPr>
        <w:t>We may retain communications you send to us, including:</w:t>
      </w:r>
    </w:p>
    <w:p>
      <w:pPr>
        <w:pStyle w:val="ListBullet"/>
        <w:spacing w:after="60"/>
        <w:ind w:left="331" w:hanging="202"/>
      </w:pPr>
      <w:r>
        <w:rPr>
          <w:rFonts w:ascii="MTN Brighter Sans" w:hAnsi="MTN Brighter Sans" w:eastAsia="MTN Brighter Sans"/>
          <w:sz w:val="22"/>
        </w:rPr>
        <w:t>support requests;</w:t>
      </w:r>
    </w:p>
    <w:p>
      <w:pPr>
        <w:pStyle w:val="ListBullet"/>
        <w:spacing w:after="60"/>
        <w:ind w:left="331" w:hanging="202"/>
      </w:pPr>
      <w:r>
        <w:rPr>
          <w:rFonts w:ascii="MTN Brighter Sans" w:hAnsi="MTN Brighter Sans" w:eastAsia="MTN Brighter Sans"/>
          <w:sz w:val="22"/>
        </w:rPr>
        <w:t>complaints;</w:t>
      </w:r>
    </w:p>
    <w:p>
      <w:pPr>
        <w:pStyle w:val="ListBullet"/>
        <w:spacing w:after="60"/>
        <w:ind w:left="331" w:hanging="202"/>
      </w:pPr>
      <w:r>
        <w:rPr>
          <w:rFonts w:ascii="MTN Brighter Sans" w:hAnsi="MTN Brighter Sans" w:eastAsia="MTN Brighter Sans"/>
          <w:sz w:val="22"/>
        </w:rPr>
        <w:t>emails;</w:t>
      </w:r>
    </w:p>
    <w:p>
      <w:pPr>
        <w:pStyle w:val="ListBullet"/>
        <w:spacing w:after="60"/>
        <w:ind w:left="331" w:hanging="202"/>
      </w:pPr>
      <w:r>
        <w:rPr>
          <w:rFonts w:ascii="MTN Brighter Sans" w:hAnsi="MTN Brighter Sans" w:eastAsia="MTN Brighter Sans"/>
          <w:sz w:val="22"/>
        </w:rPr>
        <w:t>calls or chat records where permitted;</w:t>
      </w:r>
    </w:p>
    <w:p>
      <w:pPr>
        <w:pStyle w:val="ListBullet"/>
        <w:spacing w:after="60"/>
        <w:ind w:left="331" w:hanging="202"/>
      </w:pPr>
      <w:r>
        <w:rPr>
          <w:rFonts w:ascii="MTN Brighter Sans" w:hAnsi="MTN Brighter Sans" w:eastAsia="MTN Brighter Sans"/>
          <w:sz w:val="22"/>
        </w:rPr>
        <w:t>survey responses; and</w:t>
      </w:r>
    </w:p>
    <w:p>
      <w:pPr>
        <w:pStyle w:val="ListBullet"/>
        <w:spacing w:after="60"/>
        <w:ind w:left="331" w:hanging="202"/>
      </w:pPr>
      <w:r>
        <w:rPr>
          <w:rFonts w:ascii="MTN Brighter Sans" w:hAnsi="MTN Brighter Sans" w:eastAsia="MTN Brighter Sans"/>
          <w:sz w:val="22"/>
        </w:rPr>
        <w:t>feedback.</w:t>
      </w:r>
    </w:p>
    <w:p>
      <w:pPr>
        <w:pStyle w:val="Heading2"/>
        <w:keepNext/>
      </w:pPr>
      <w:r>
        <w:t>3.8 Marketing and Registration Information</w:t>
      </w:r>
    </w:p>
    <w:p>
      <w:pPr>
        <w:keepLines w:val="0"/>
      </w:pPr>
      <w:r>
        <w:rPr>
          <w:rFonts w:ascii="MTN Brighter Sans" w:hAnsi="MTN Brighter Sans" w:eastAsia="MTN Brighter Sans"/>
          <w:b w:val="0"/>
          <w:i w:val="0"/>
          <w:color w:val="1F2937"/>
          <w:sz w:val="22"/>
        </w:rPr>
        <w:t>Where you register for product updates, communications or related programmes, we may collect information such as:</w:t>
      </w:r>
    </w:p>
    <w:p>
      <w:pPr>
        <w:pStyle w:val="ListBullet"/>
        <w:spacing w:after="60"/>
        <w:ind w:left="331" w:hanging="202"/>
      </w:pPr>
      <w:r>
        <w:rPr>
          <w:rFonts w:ascii="MTN Brighter Sans" w:hAnsi="MTN Brighter Sans" w:eastAsia="MTN Brighter Sans"/>
          <w:sz w:val="22"/>
        </w:rPr>
        <w:t>name;</w:t>
      </w:r>
    </w:p>
    <w:p>
      <w:pPr>
        <w:pStyle w:val="ListBullet"/>
        <w:spacing w:after="60"/>
        <w:ind w:left="331" w:hanging="202"/>
      </w:pPr>
      <w:r>
        <w:rPr>
          <w:rFonts w:ascii="MTN Brighter Sans" w:hAnsi="MTN Brighter Sans" w:eastAsia="MTN Brighter Sans"/>
          <w:sz w:val="22"/>
        </w:rPr>
        <w:t>email;</w:t>
      </w:r>
    </w:p>
    <w:p>
      <w:pPr>
        <w:pStyle w:val="ListBullet"/>
        <w:spacing w:after="60"/>
        <w:ind w:left="331" w:hanging="202"/>
      </w:pPr>
      <w:r>
        <w:rPr>
          <w:rFonts w:ascii="MTN Brighter Sans" w:hAnsi="MTN Brighter Sans" w:eastAsia="MTN Brighter Sans"/>
          <w:sz w:val="22"/>
        </w:rPr>
        <w:t>telephone number;</w:t>
      </w:r>
    </w:p>
    <w:p>
      <w:pPr>
        <w:pStyle w:val="ListBullet"/>
        <w:spacing w:after="60"/>
        <w:ind w:left="331" w:hanging="202"/>
      </w:pPr>
      <w:r>
        <w:rPr>
          <w:rFonts w:ascii="MTN Brighter Sans" w:hAnsi="MTN Brighter Sans" w:eastAsia="MTN Brighter Sans"/>
          <w:sz w:val="22"/>
        </w:rPr>
        <w:t>country;</w:t>
      </w:r>
    </w:p>
    <w:p>
      <w:pPr>
        <w:pStyle w:val="ListBullet"/>
        <w:spacing w:after="60"/>
        <w:ind w:left="331" w:hanging="202"/>
      </w:pPr>
      <w:r>
        <w:rPr>
          <w:rFonts w:ascii="MTN Brighter Sans" w:hAnsi="MTN Brighter Sans" w:eastAsia="MTN Brighter Sans"/>
          <w:sz w:val="22"/>
        </w:rPr>
        <w:t>business information;</w:t>
      </w:r>
    </w:p>
    <w:p>
      <w:pPr>
        <w:pStyle w:val="ListBullet"/>
        <w:spacing w:after="60"/>
        <w:ind w:left="331" w:hanging="202"/>
      </w:pPr>
      <w:r>
        <w:rPr>
          <w:rFonts w:ascii="MTN Brighter Sans" w:hAnsi="MTN Brighter Sans" w:eastAsia="MTN Brighter Sans"/>
          <w:sz w:val="22"/>
        </w:rPr>
        <w:t>product interests;</w:t>
      </w:r>
    </w:p>
    <w:p>
      <w:pPr>
        <w:pStyle w:val="ListBullet"/>
        <w:spacing w:after="60"/>
        <w:ind w:left="331" w:hanging="202"/>
      </w:pPr>
      <w:r>
        <w:rPr>
          <w:rFonts w:ascii="MTN Brighter Sans" w:hAnsi="MTN Brighter Sans" w:eastAsia="MTN Brighter Sans"/>
          <w:sz w:val="22"/>
        </w:rPr>
        <w:t>intended use of Koineckta; and</w:t>
      </w:r>
    </w:p>
    <w:p>
      <w:pPr>
        <w:pStyle w:val="ListBullet"/>
        <w:spacing w:after="60"/>
        <w:ind w:left="331" w:hanging="202"/>
      </w:pPr>
      <w:r>
        <w:rPr>
          <w:rFonts w:ascii="MTN Brighter Sans" w:hAnsi="MTN Brighter Sans" w:eastAsia="MTN Brighter Sans"/>
          <w:sz w:val="22"/>
        </w:rPr>
        <w:t>marketing preferences.</w:t>
      </w:r>
    </w:p>
    <w:p>
      <w:pPr>
        <w:pStyle w:val="Heading1"/>
        <w:keepNext/>
      </w:pPr>
      <w:r>
        <w:t>4. How We Obtain Personal Data</w:t>
      </w:r>
    </w:p>
    <w:p>
      <w:pPr>
        <w:keepLines w:val="0"/>
      </w:pPr>
      <w:r>
        <w:rPr>
          <w:rFonts w:ascii="MTN Brighter Sans" w:hAnsi="MTN Brighter Sans" w:eastAsia="MTN Brighter Sans"/>
          <w:b w:val="0"/>
          <w:i w:val="0"/>
          <w:color w:val="1F2937"/>
          <w:sz w:val="22"/>
        </w:rPr>
        <w:t>We may obtain personal data:</w:t>
      </w:r>
    </w:p>
    <w:p>
      <w:pPr>
        <w:pStyle w:val="ListBullet"/>
        <w:spacing w:after="60"/>
        <w:ind w:left="331" w:hanging="202"/>
      </w:pPr>
      <w:r>
        <w:rPr>
          <w:rFonts w:ascii="MTN Brighter Sans" w:hAnsi="MTN Brighter Sans" w:eastAsia="MTN Brighter Sans"/>
          <w:sz w:val="22"/>
        </w:rPr>
        <w:t>directly from you;</w:t>
      </w:r>
    </w:p>
    <w:p>
      <w:pPr>
        <w:pStyle w:val="ListBullet"/>
        <w:spacing w:after="60"/>
        <w:ind w:left="331" w:hanging="202"/>
      </w:pPr>
      <w:r>
        <w:rPr>
          <w:rFonts w:ascii="MTN Brighter Sans" w:hAnsi="MTN Brighter Sans" w:eastAsia="MTN Brighter Sans"/>
          <w:sz w:val="22"/>
        </w:rPr>
        <w:t>from merchants using Koineckta;</w:t>
      </w:r>
    </w:p>
    <w:p>
      <w:pPr>
        <w:pStyle w:val="ListBullet"/>
        <w:spacing w:after="60"/>
        <w:ind w:left="331" w:hanging="202"/>
      </w:pPr>
      <w:r>
        <w:rPr>
          <w:rFonts w:ascii="MTN Brighter Sans" w:hAnsi="MTN Brighter Sans" w:eastAsia="MTN Brighter Sans"/>
          <w:sz w:val="22"/>
        </w:rPr>
        <w:t>from your device or browser;</w:t>
      </w:r>
    </w:p>
    <w:p>
      <w:pPr>
        <w:pStyle w:val="ListBullet"/>
        <w:spacing w:after="60"/>
        <w:ind w:left="331" w:hanging="202"/>
      </w:pPr>
      <w:r>
        <w:rPr>
          <w:rFonts w:ascii="MTN Brighter Sans" w:hAnsi="MTN Brighter Sans" w:eastAsia="MTN Brighter Sans"/>
          <w:sz w:val="22"/>
        </w:rPr>
        <w:t>from banks and payment providers;</w:t>
      </w:r>
    </w:p>
    <w:p>
      <w:pPr>
        <w:pStyle w:val="ListBullet"/>
        <w:spacing w:after="60"/>
        <w:ind w:left="331" w:hanging="202"/>
      </w:pPr>
      <w:r>
        <w:rPr>
          <w:rFonts w:ascii="MTN Brighter Sans" w:hAnsi="MTN Brighter Sans" w:eastAsia="MTN Brighter Sans"/>
          <w:sz w:val="22"/>
        </w:rPr>
        <w:t>from wallet, custody and blockchain infrastructure providers;</w:t>
      </w:r>
    </w:p>
    <w:p>
      <w:pPr>
        <w:pStyle w:val="ListBullet"/>
        <w:spacing w:after="60"/>
        <w:ind w:left="331" w:hanging="202"/>
      </w:pPr>
      <w:r>
        <w:rPr>
          <w:rFonts w:ascii="MTN Brighter Sans" w:hAnsi="MTN Brighter Sans" w:eastAsia="MTN Brighter Sans"/>
          <w:sz w:val="22"/>
        </w:rPr>
        <w:t>from identity-verification and KYC/KYB providers;</w:t>
      </w:r>
    </w:p>
    <w:p>
      <w:pPr>
        <w:pStyle w:val="ListBullet"/>
        <w:spacing w:after="60"/>
        <w:ind w:left="331" w:hanging="202"/>
      </w:pPr>
      <w:r>
        <w:rPr>
          <w:rFonts w:ascii="MTN Brighter Sans" w:hAnsi="MTN Brighter Sans" w:eastAsia="MTN Brighter Sans"/>
          <w:sz w:val="22"/>
        </w:rPr>
        <w:t>from fraud, sanctions, AML and blockchain-analysis providers;</w:t>
      </w:r>
    </w:p>
    <w:p>
      <w:pPr>
        <w:pStyle w:val="ListBullet"/>
        <w:spacing w:after="60"/>
        <w:ind w:left="331" w:hanging="202"/>
      </w:pPr>
      <w:r>
        <w:rPr>
          <w:rFonts w:ascii="MTN Brighter Sans" w:hAnsi="MTN Brighter Sans" w:eastAsia="MTN Brighter Sans"/>
          <w:sz w:val="22"/>
        </w:rPr>
        <w:t>from publicly available databases and blockchains;</w:t>
      </w:r>
    </w:p>
    <w:p>
      <w:pPr>
        <w:pStyle w:val="ListBullet"/>
        <w:spacing w:after="60"/>
        <w:ind w:left="331" w:hanging="202"/>
      </w:pPr>
      <w:r>
        <w:rPr>
          <w:rFonts w:ascii="MTN Brighter Sans" w:hAnsi="MTN Brighter Sans" w:eastAsia="MTN Brighter Sans"/>
          <w:sz w:val="22"/>
        </w:rPr>
        <w:t>from regulators, law-enforcement agencies or authorised public bodies;</w:t>
      </w:r>
    </w:p>
    <w:p>
      <w:pPr>
        <w:pStyle w:val="ListBullet"/>
        <w:spacing w:after="60"/>
        <w:ind w:left="331" w:hanging="202"/>
      </w:pPr>
      <w:r>
        <w:rPr>
          <w:rFonts w:ascii="MTN Brighter Sans" w:hAnsi="MTN Brighter Sans" w:eastAsia="MTN Brighter Sans"/>
          <w:sz w:val="22"/>
        </w:rPr>
        <w:t>from business partners; and</w:t>
      </w:r>
    </w:p>
    <w:p>
      <w:pPr>
        <w:pStyle w:val="ListBullet"/>
        <w:spacing w:after="60"/>
        <w:ind w:left="331" w:hanging="202"/>
      </w:pPr>
      <w:r>
        <w:rPr>
          <w:rFonts w:ascii="MTN Brighter Sans" w:hAnsi="MTN Brighter Sans" w:eastAsia="MTN Brighter Sans"/>
          <w:sz w:val="22"/>
        </w:rPr>
        <w:t>through cookies and similar technologies.</w:t>
      </w:r>
    </w:p>
    <w:p>
      <w:pPr>
        <w:pStyle w:val="Heading1"/>
        <w:keepNext/>
      </w:pPr>
      <w:r>
        <w:t>5. Why We Process Personal Data</w:t>
      </w:r>
    </w:p>
    <w:p>
      <w:pPr>
        <w:pStyle w:val="Heading2"/>
        <w:keepNext/>
      </w:pPr>
      <w:r>
        <w:t>Provide the Services</w:t>
      </w:r>
    </w:p>
    <w:p>
      <w:pPr>
        <w:keepLines w:val="0"/>
      </w:pPr>
      <w:r>
        <w:rPr>
          <w:rFonts w:ascii="MTN Brighter Sans" w:hAnsi="MTN Brighter Sans" w:eastAsia="MTN Brighter Sans"/>
          <w:b w:val="0"/>
          <w:i w:val="0"/>
          <w:color w:val="1F2937"/>
          <w:sz w:val="22"/>
        </w:rPr>
        <w:t>Including to:</w:t>
      </w:r>
    </w:p>
    <w:p>
      <w:pPr>
        <w:pStyle w:val="ListBullet"/>
        <w:spacing w:after="60"/>
        <w:ind w:left="331" w:hanging="202"/>
      </w:pPr>
      <w:r>
        <w:rPr>
          <w:rFonts w:ascii="MTN Brighter Sans" w:hAnsi="MTN Brighter Sans" w:eastAsia="MTN Brighter Sans"/>
          <w:sz w:val="22"/>
        </w:rPr>
        <w:t>create and administer your account;</w:t>
      </w:r>
    </w:p>
    <w:p>
      <w:pPr>
        <w:pStyle w:val="ListBullet"/>
        <w:spacing w:after="60"/>
        <w:ind w:left="331" w:hanging="202"/>
      </w:pPr>
      <w:r>
        <w:rPr>
          <w:rFonts w:ascii="MTN Brighter Sans" w:hAnsi="MTN Brighter Sans" w:eastAsia="MTN Brighter Sans"/>
          <w:sz w:val="22"/>
        </w:rPr>
        <w:t>authenticate users;</w:t>
      </w:r>
    </w:p>
    <w:p>
      <w:pPr>
        <w:pStyle w:val="ListBullet"/>
        <w:spacing w:after="60"/>
        <w:ind w:left="331" w:hanging="202"/>
      </w:pPr>
      <w:r>
        <w:rPr>
          <w:rFonts w:ascii="MTN Brighter Sans" w:hAnsi="MTN Brighter Sans" w:eastAsia="MTN Brighter Sans"/>
          <w:sz w:val="22"/>
        </w:rPr>
        <w:t>provide wallets and payment functionality;</w:t>
      </w:r>
    </w:p>
    <w:p>
      <w:pPr>
        <w:pStyle w:val="ListBullet"/>
        <w:spacing w:after="60"/>
        <w:ind w:left="331" w:hanging="202"/>
      </w:pPr>
      <w:r>
        <w:rPr>
          <w:rFonts w:ascii="MTN Brighter Sans" w:hAnsi="MTN Brighter Sans" w:eastAsia="MTN Brighter Sans"/>
          <w:sz w:val="22"/>
        </w:rPr>
        <w:t>process payments;</w:t>
      </w:r>
    </w:p>
    <w:p>
      <w:pPr>
        <w:pStyle w:val="ListBullet"/>
        <w:spacing w:after="60"/>
        <w:ind w:left="331" w:hanging="202"/>
      </w:pPr>
      <w:r>
        <w:rPr>
          <w:rFonts w:ascii="MTN Brighter Sans" w:hAnsi="MTN Brighter Sans" w:eastAsia="MTN Brighter Sans"/>
          <w:sz w:val="22"/>
        </w:rPr>
        <w:t>execute authorised asset conversions;</w:t>
      </w:r>
    </w:p>
    <w:p>
      <w:pPr>
        <w:pStyle w:val="ListBullet"/>
        <w:spacing w:after="60"/>
        <w:ind w:left="331" w:hanging="202"/>
      </w:pPr>
      <w:r>
        <w:rPr>
          <w:rFonts w:ascii="MTN Brighter Sans" w:hAnsi="MTN Brighter Sans" w:eastAsia="MTN Brighter Sans"/>
          <w:sz w:val="22"/>
        </w:rPr>
        <w:t>process withdrawals and settlements;</w:t>
      </w:r>
    </w:p>
    <w:p>
      <w:pPr>
        <w:pStyle w:val="ListBullet"/>
        <w:spacing w:after="60"/>
        <w:ind w:left="331" w:hanging="202"/>
      </w:pPr>
      <w:r>
        <w:rPr>
          <w:rFonts w:ascii="MTN Brighter Sans" w:hAnsi="MTN Brighter Sans" w:eastAsia="MTN Brighter Sans"/>
          <w:sz w:val="22"/>
        </w:rPr>
        <w:t>facilitate merchant payment acceptance;</w:t>
      </w:r>
    </w:p>
    <w:p>
      <w:pPr>
        <w:pStyle w:val="ListBullet"/>
        <w:spacing w:after="60"/>
        <w:ind w:left="331" w:hanging="202"/>
      </w:pPr>
      <w:r>
        <w:rPr>
          <w:rFonts w:ascii="MTN Brighter Sans" w:hAnsi="MTN Brighter Sans" w:eastAsia="MTN Brighter Sans"/>
          <w:sz w:val="22"/>
        </w:rPr>
        <w:t>maintain transaction histories;</w:t>
      </w:r>
    </w:p>
    <w:p>
      <w:pPr>
        <w:pStyle w:val="ListBullet"/>
        <w:spacing w:after="60"/>
        <w:ind w:left="331" w:hanging="202"/>
      </w:pPr>
      <w:r>
        <w:rPr>
          <w:rFonts w:ascii="MTN Brighter Sans" w:hAnsi="MTN Brighter Sans" w:eastAsia="MTN Brighter Sans"/>
          <w:sz w:val="22"/>
        </w:rPr>
        <w:t>reconcile transactions; and</w:t>
      </w:r>
    </w:p>
    <w:p>
      <w:pPr>
        <w:pStyle w:val="ListBullet"/>
        <w:spacing w:after="60"/>
        <w:ind w:left="331" w:hanging="202"/>
      </w:pPr>
      <w:r>
        <w:rPr>
          <w:rFonts w:ascii="MTN Brighter Sans" w:hAnsi="MTN Brighter Sans" w:eastAsia="MTN Brighter Sans"/>
          <w:sz w:val="22"/>
        </w:rPr>
        <w:t>provide customer support.</w:t>
      </w:r>
    </w:p>
    <w:p>
      <w:pPr>
        <w:pStyle w:val="Heading2"/>
        <w:keepNext/>
      </w:pPr>
      <w:r>
        <w:t>Verify Identity and Meet Legal Obligations</w:t>
      </w:r>
    </w:p>
    <w:p>
      <w:pPr>
        <w:keepLines w:val="0"/>
      </w:pPr>
      <w:r>
        <w:rPr>
          <w:rFonts w:ascii="MTN Brighter Sans" w:hAnsi="MTN Brighter Sans" w:eastAsia="MTN Brighter Sans"/>
          <w:b w:val="0"/>
          <w:i w:val="0"/>
          <w:color w:val="1F2937"/>
          <w:sz w:val="22"/>
        </w:rPr>
        <w:t>Including to:</w:t>
      </w:r>
    </w:p>
    <w:p>
      <w:pPr>
        <w:pStyle w:val="ListBullet"/>
        <w:spacing w:after="60"/>
        <w:ind w:left="331" w:hanging="202"/>
      </w:pPr>
      <w:r>
        <w:rPr>
          <w:rFonts w:ascii="MTN Brighter Sans" w:hAnsi="MTN Brighter Sans" w:eastAsia="MTN Brighter Sans"/>
          <w:sz w:val="22"/>
        </w:rPr>
        <w:t>perform KYC and KYB checks;</w:t>
      </w:r>
    </w:p>
    <w:p>
      <w:pPr>
        <w:pStyle w:val="ListBullet"/>
        <w:spacing w:after="60"/>
        <w:ind w:left="331" w:hanging="202"/>
      </w:pPr>
      <w:r>
        <w:rPr>
          <w:rFonts w:ascii="MTN Brighter Sans" w:hAnsi="MTN Brighter Sans" w:eastAsia="MTN Brighter Sans"/>
          <w:sz w:val="22"/>
        </w:rPr>
        <w:t>verify beneficial ownership;</w:t>
      </w:r>
    </w:p>
    <w:p>
      <w:pPr>
        <w:pStyle w:val="ListBullet"/>
        <w:spacing w:after="60"/>
        <w:ind w:left="331" w:hanging="202"/>
      </w:pPr>
      <w:r>
        <w:rPr>
          <w:rFonts w:ascii="MTN Brighter Sans" w:hAnsi="MTN Brighter Sans" w:eastAsia="MTN Brighter Sans"/>
          <w:sz w:val="22"/>
        </w:rPr>
        <w:t>screen against sanctions and PEP lists;</w:t>
      </w:r>
    </w:p>
    <w:p>
      <w:pPr>
        <w:pStyle w:val="ListBullet"/>
        <w:spacing w:after="60"/>
        <w:ind w:left="331" w:hanging="202"/>
      </w:pPr>
      <w:r>
        <w:rPr>
          <w:rFonts w:ascii="MTN Brighter Sans" w:hAnsi="MTN Brighter Sans" w:eastAsia="MTN Brighter Sans"/>
          <w:sz w:val="22"/>
        </w:rPr>
        <w:t>monitor transactions;</w:t>
      </w:r>
    </w:p>
    <w:p>
      <w:pPr>
        <w:pStyle w:val="ListBullet"/>
        <w:spacing w:after="60"/>
        <w:ind w:left="331" w:hanging="202"/>
      </w:pPr>
      <w:r>
        <w:rPr>
          <w:rFonts w:ascii="MTN Brighter Sans" w:hAnsi="MTN Brighter Sans" w:eastAsia="MTN Brighter Sans"/>
          <w:sz w:val="22"/>
        </w:rPr>
        <w:t>investigate suspicious activity;</w:t>
      </w:r>
    </w:p>
    <w:p>
      <w:pPr>
        <w:pStyle w:val="ListBullet"/>
        <w:spacing w:after="60"/>
        <w:ind w:left="331" w:hanging="202"/>
      </w:pPr>
      <w:r>
        <w:rPr>
          <w:rFonts w:ascii="MTN Brighter Sans" w:hAnsi="MTN Brighter Sans" w:eastAsia="MTN Brighter Sans"/>
          <w:sz w:val="22"/>
        </w:rPr>
        <w:t>prevent fraud and money laundering; and</w:t>
      </w:r>
    </w:p>
    <w:p>
      <w:pPr>
        <w:pStyle w:val="ListBullet"/>
        <w:spacing w:after="60"/>
        <w:ind w:left="331" w:hanging="202"/>
      </w:pPr>
      <w:r>
        <w:rPr>
          <w:rFonts w:ascii="MTN Brighter Sans" w:hAnsi="MTN Brighter Sans" w:eastAsia="MTN Brighter Sans"/>
          <w:sz w:val="22"/>
        </w:rPr>
        <w:t>respond to lawful regulatory or governmental requests.</w:t>
      </w:r>
    </w:p>
    <w:p>
      <w:pPr>
        <w:pStyle w:val="Heading2"/>
        <w:keepNext/>
      </w:pPr>
      <w:r>
        <w:t>Maintain Security</w:t>
      </w:r>
    </w:p>
    <w:p>
      <w:pPr>
        <w:keepLines w:val="0"/>
      </w:pPr>
      <w:r>
        <w:rPr>
          <w:rFonts w:ascii="MTN Brighter Sans" w:hAnsi="MTN Brighter Sans" w:eastAsia="MTN Brighter Sans"/>
          <w:b w:val="0"/>
          <w:i w:val="0"/>
          <w:color w:val="1F2937"/>
          <w:sz w:val="22"/>
        </w:rPr>
        <w:t>Including to:</w:t>
      </w:r>
    </w:p>
    <w:p>
      <w:pPr>
        <w:pStyle w:val="ListBullet"/>
        <w:spacing w:after="60"/>
        <w:ind w:left="331" w:hanging="202"/>
      </w:pPr>
      <w:r>
        <w:rPr>
          <w:rFonts w:ascii="MTN Brighter Sans" w:hAnsi="MTN Brighter Sans" w:eastAsia="MTN Brighter Sans"/>
          <w:sz w:val="22"/>
        </w:rPr>
        <w:t>protect user accounts;</w:t>
      </w:r>
    </w:p>
    <w:p>
      <w:pPr>
        <w:pStyle w:val="ListBullet"/>
        <w:spacing w:after="60"/>
        <w:ind w:left="331" w:hanging="202"/>
      </w:pPr>
      <w:r>
        <w:rPr>
          <w:rFonts w:ascii="MTN Brighter Sans" w:hAnsi="MTN Brighter Sans" w:eastAsia="MTN Brighter Sans"/>
          <w:sz w:val="22"/>
        </w:rPr>
        <w:t>detect unauthorised access;</w:t>
      </w:r>
    </w:p>
    <w:p>
      <w:pPr>
        <w:pStyle w:val="ListBullet"/>
        <w:spacing w:after="60"/>
        <w:ind w:left="331" w:hanging="202"/>
      </w:pPr>
      <w:r>
        <w:rPr>
          <w:rFonts w:ascii="MTN Brighter Sans" w:hAnsi="MTN Brighter Sans" w:eastAsia="MTN Brighter Sans"/>
          <w:sz w:val="22"/>
        </w:rPr>
        <w:t>investigate suspicious behaviour;</w:t>
      </w:r>
    </w:p>
    <w:p>
      <w:pPr>
        <w:pStyle w:val="ListBullet"/>
        <w:spacing w:after="60"/>
        <w:ind w:left="331" w:hanging="202"/>
      </w:pPr>
      <w:r>
        <w:rPr>
          <w:rFonts w:ascii="MTN Brighter Sans" w:hAnsi="MTN Brighter Sans" w:eastAsia="MTN Brighter Sans"/>
          <w:sz w:val="22"/>
        </w:rPr>
        <w:t>protect Koineckta systems;</w:t>
      </w:r>
    </w:p>
    <w:p>
      <w:pPr>
        <w:pStyle w:val="ListBullet"/>
        <w:spacing w:after="60"/>
        <w:ind w:left="331" w:hanging="202"/>
      </w:pPr>
      <w:r>
        <w:rPr>
          <w:rFonts w:ascii="MTN Brighter Sans" w:hAnsi="MTN Brighter Sans" w:eastAsia="MTN Brighter Sans"/>
          <w:sz w:val="22"/>
        </w:rPr>
        <w:t>prevent abuse; and</w:t>
      </w:r>
    </w:p>
    <w:p>
      <w:pPr>
        <w:pStyle w:val="ListBullet"/>
        <w:spacing w:after="60"/>
        <w:ind w:left="331" w:hanging="202"/>
      </w:pPr>
      <w:r>
        <w:rPr>
          <w:rFonts w:ascii="MTN Brighter Sans" w:hAnsi="MTN Brighter Sans" w:eastAsia="MTN Brighter Sans"/>
          <w:sz w:val="22"/>
        </w:rPr>
        <w:t>maintain audit and security records.</w:t>
      </w:r>
    </w:p>
    <w:p>
      <w:pPr>
        <w:pStyle w:val="Heading2"/>
        <w:keepNext/>
      </w:pPr>
      <w:r>
        <w:t>Improve Our Products</w:t>
      </w:r>
    </w:p>
    <w:p>
      <w:pPr>
        <w:keepLines w:val="0"/>
      </w:pPr>
      <w:r>
        <w:rPr>
          <w:rFonts w:ascii="MTN Brighter Sans" w:hAnsi="MTN Brighter Sans" w:eastAsia="MTN Brighter Sans"/>
          <w:b w:val="0"/>
          <w:i w:val="0"/>
          <w:color w:val="1F2937"/>
          <w:sz w:val="22"/>
        </w:rPr>
        <w:t>Including to:</w:t>
      </w:r>
    </w:p>
    <w:p>
      <w:pPr>
        <w:pStyle w:val="ListBullet"/>
        <w:spacing w:after="60"/>
        <w:ind w:left="331" w:hanging="202"/>
      </w:pPr>
      <w:r>
        <w:rPr>
          <w:rFonts w:ascii="MTN Brighter Sans" w:hAnsi="MTN Brighter Sans" w:eastAsia="MTN Brighter Sans"/>
          <w:sz w:val="22"/>
        </w:rPr>
        <w:t>analyse service performance;</w:t>
      </w:r>
    </w:p>
    <w:p>
      <w:pPr>
        <w:pStyle w:val="ListBullet"/>
        <w:spacing w:after="60"/>
        <w:ind w:left="331" w:hanging="202"/>
      </w:pPr>
      <w:r>
        <w:rPr>
          <w:rFonts w:ascii="MTN Brighter Sans" w:hAnsi="MTN Brighter Sans" w:eastAsia="MTN Brighter Sans"/>
          <w:sz w:val="22"/>
        </w:rPr>
        <w:t>diagnose problems;</w:t>
      </w:r>
    </w:p>
    <w:p>
      <w:pPr>
        <w:pStyle w:val="ListBullet"/>
        <w:spacing w:after="60"/>
        <w:ind w:left="331" w:hanging="202"/>
      </w:pPr>
      <w:r>
        <w:rPr>
          <w:rFonts w:ascii="MTN Brighter Sans" w:hAnsi="MTN Brighter Sans" w:eastAsia="MTN Brighter Sans"/>
          <w:sz w:val="22"/>
        </w:rPr>
        <w:t>develop new features;</w:t>
      </w:r>
    </w:p>
    <w:p>
      <w:pPr>
        <w:pStyle w:val="ListBullet"/>
        <w:spacing w:after="60"/>
        <w:ind w:left="331" w:hanging="202"/>
      </w:pPr>
      <w:r>
        <w:rPr>
          <w:rFonts w:ascii="MTN Brighter Sans" w:hAnsi="MTN Brighter Sans" w:eastAsia="MTN Brighter Sans"/>
          <w:sz w:val="22"/>
        </w:rPr>
        <w:t>understand user behaviour;</w:t>
      </w:r>
    </w:p>
    <w:p>
      <w:pPr>
        <w:pStyle w:val="ListBullet"/>
        <w:spacing w:after="60"/>
        <w:ind w:left="331" w:hanging="202"/>
      </w:pPr>
      <w:r>
        <w:rPr>
          <w:rFonts w:ascii="MTN Brighter Sans" w:hAnsi="MTN Brighter Sans" w:eastAsia="MTN Brighter Sans"/>
          <w:sz w:val="22"/>
        </w:rPr>
        <w:t>improve usability; and</w:t>
      </w:r>
    </w:p>
    <w:p>
      <w:pPr>
        <w:pStyle w:val="ListBullet"/>
        <w:spacing w:after="60"/>
        <w:ind w:left="331" w:hanging="202"/>
      </w:pPr>
      <w:r>
        <w:rPr>
          <w:rFonts w:ascii="MTN Brighter Sans" w:hAnsi="MTN Brighter Sans" w:eastAsia="MTN Brighter Sans"/>
          <w:sz w:val="22"/>
        </w:rPr>
        <w:t>measure service reliability.</w:t>
      </w:r>
    </w:p>
    <w:p>
      <w:pPr>
        <w:pStyle w:val="Heading2"/>
        <w:keepNext/>
      </w:pPr>
      <w:r>
        <w:t>Communicate With You</w:t>
      </w:r>
    </w:p>
    <w:p>
      <w:pPr>
        <w:keepLines w:val="0"/>
      </w:pPr>
      <w:r>
        <w:rPr>
          <w:rFonts w:ascii="MTN Brighter Sans" w:hAnsi="MTN Brighter Sans" w:eastAsia="MTN Brighter Sans"/>
          <w:b w:val="0"/>
          <w:i w:val="0"/>
          <w:color w:val="1F2937"/>
          <w:sz w:val="22"/>
        </w:rPr>
        <w:t>Including to send:</w:t>
      </w:r>
    </w:p>
    <w:p>
      <w:pPr>
        <w:pStyle w:val="ListBullet"/>
        <w:spacing w:after="60"/>
        <w:ind w:left="331" w:hanging="202"/>
      </w:pPr>
      <w:r>
        <w:rPr>
          <w:rFonts w:ascii="MTN Brighter Sans" w:hAnsi="MTN Brighter Sans" w:eastAsia="MTN Brighter Sans"/>
          <w:sz w:val="22"/>
        </w:rPr>
        <w:t>transaction notifications;</w:t>
      </w:r>
    </w:p>
    <w:p>
      <w:pPr>
        <w:pStyle w:val="ListBullet"/>
        <w:spacing w:after="60"/>
        <w:ind w:left="331" w:hanging="202"/>
      </w:pPr>
      <w:r>
        <w:rPr>
          <w:rFonts w:ascii="MTN Brighter Sans" w:hAnsi="MTN Brighter Sans" w:eastAsia="MTN Brighter Sans"/>
          <w:sz w:val="22"/>
        </w:rPr>
        <w:t>security alerts;</w:t>
      </w:r>
    </w:p>
    <w:p>
      <w:pPr>
        <w:pStyle w:val="ListBullet"/>
        <w:spacing w:after="60"/>
        <w:ind w:left="331" w:hanging="202"/>
      </w:pPr>
      <w:r>
        <w:rPr>
          <w:rFonts w:ascii="MTN Brighter Sans" w:hAnsi="MTN Brighter Sans" w:eastAsia="MTN Brighter Sans"/>
          <w:sz w:val="22"/>
        </w:rPr>
        <w:t>account notices;</w:t>
      </w:r>
    </w:p>
    <w:p>
      <w:pPr>
        <w:pStyle w:val="ListBullet"/>
        <w:spacing w:after="60"/>
        <w:ind w:left="331" w:hanging="202"/>
      </w:pPr>
      <w:r>
        <w:rPr>
          <w:rFonts w:ascii="MTN Brighter Sans" w:hAnsi="MTN Brighter Sans" w:eastAsia="MTN Brighter Sans"/>
          <w:sz w:val="22"/>
        </w:rPr>
        <w:t>service announcements;</w:t>
      </w:r>
    </w:p>
    <w:p>
      <w:pPr>
        <w:pStyle w:val="ListBullet"/>
        <w:spacing w:after="60"/>
        <w:ind w:left="331" w:hanging="202"/>
      </w:pPr>
      <w:r>
        <w:rPr>
          <w:rFonts w:ascii="MTN Brighter Sans" w:hAnsi="MTN Brighter Sans" w:eastAsia="MTN Brighter Sans"/>
          <w:sz w:val="22"/>
        </w:rPr>
        <w:t>regulatory notices;</w:t>
      </w:r>
    </w:p>
    <w:p>
      <w:pPr>
        <w:pStyle w:val="ListBullet"/>
        <w:spacing w:after="60"/>
        <w:ind w:left="331" w:hanging="202"/>
      </w:pPr>
      <w:r>
        <w:rPr>
          <w:rFonts w:ascii="MTN Brighter Sans" w:hAnsi="MTN Brighter Sans" w:eastAsia="MTN Brighter Sans"/>
          <w:sz w:val="22"/>
        </w:rPr>
        <w:t>support responses; and</w:t>
      </w:r>
    </w:p>
    <w:p>
      <w:pPr>
        <w:pStyle w:val="ListBullet"/>
        <w:spacing w:after="60"/>
        <w:ind w:left="331" w:hanging="202"/>
      </w:pPr>
      <w:r>
        <w:rPr>
          <w:rFonts w:ascii="MTN Brighter Sans" w:hAnsi="MTN Brighter Sans" w:eastAsia="MTN Brighter Sans"/>
          <w:sz w:val="22"/>
        </w:rPr>
        <w:t>marketing communications where permitted.</w:t>
      </w:r>
    </w:p>
    <w:p>
      <w:pPr>
        <w:pStyle w:val="Heading1"/>
        <w:keepNext/>
      </w:pPr>
      <w:r>
        <w:t>6. Lawful Bases for Processing</w:t>
      </w:r>
    </w:p>
    <w:p>
      <w:pPr>
        <w:keepLines w:val="0"/>
      </w:pPr>
      <w:r>
        <w:rPr>
          <w:rFonts w:ascii="MTN Brighter Sans" w:hAnsi="MTN Brighter Sans" w:eastAsia="MTN Brighter Sans"/>
          <w:b w:val="0"/>
          <w:i w:val="0"/>
          <w:color w:val="1F2937"/>
          <w:sz w:val="22"/>
        </w:rPr>
        <w:t>Depending on the circumstances, Koineckta may process personal data because:</w:t>
      </w:r>
    </w:p>
    <w:p>
      <w:pPr>
        <w:pStyle w:val="ListBullet"/>
        <w:spacing w:after="60"/>
        <w:ind w:left="331" w:hanging="202"/>
      </w:pPr>
      <w:r>
        <w:rPr>
          <w:rFonts w:ascii="MTN Brighter Sans" w:hAnsi="MTN Brighter Sans" w:eastAsia="MTN Brighter Sans"/>
          <w:sz w:val="22"/>
        </w:rPr>
        <w:t>processing is necessary to perform a contract with you;</w:t>
      </w:r>
    </w:p>
    <w:p>
      <w:pPr>
        <w:pStyle w:val="ListBullet"/>
        <w:spacing w:after="60"/>
        <w:ind w:left="331" w:hanging="202"/>
      </w:pPr>
      <w:r>
        <w:rPr>
          <w:rFonts w:ascii="MTN Brighter Sans" w:hAnsi="MTN Brighter Sans" w:eastAsia="MTN Brighter Sans"/>
          <w:sz w:val="22"/>
        </w:rPr>
        <w:t>processing is necessary to comply with a legal obligation;</w:t>
      </w:r>
    </w:p>
    <w:p>
      <w:pPr>
        <w:pStyle w:val="ListBullet"/>
        <w:spacing w:after="60"/>
        <w:ind w:left="331" w:hanging="202"/>
      </w:pPr>
      <w:r>
        <w:rPr>
          <w:rFonts w:ascii="MTN Brighter Sans" w:hAnsi="MTN Brighter Sans" w:eastAsia="MTN Brighter Sans"/>
          <w:sz w:val="22"/>
        </w:rPr>
        <w:t>you have provided valid consent;</w:t>
      </w:r>
    </w:p>
    <w:p>
      <w:pPr>
        <w:pStyle w:val="ListBullet"/>
        <w:spacing w:after="60"/>
        <w:ind w:left="331" w:hanging="202"/>
      </w:pPr>
      <w:r>
        <w:rPr>
          <w:rFonts w:ascii="MTN Brighter Sans" w:hAnsi="MTN Brighter Sans" w:eastAsia="MTN Brighter Sans"/>
          <w:sz w:val="22"/>
        </w:rPr>
        <w:t>processing is necessary for Koineckta’s legitimate interests, provided those interests do not override your rights;</w:t>
      </w:r>
    </w:p>
    <w:p>
      <w:pPr>
        <w:pStyle w:val="ListBullet"/>
        <w:spacing w:after="60"/>
        <w:ind w:left="331" w:hanging="202"/>
      </w:pPr>
      <w:r>
        <w:rPr>
          <w:rFonts w:ascii="MTN Brighter Sans" w:hAnsi="MTN Brighter Sans" w:eastAsia="MTN Brighter Sans"/>
          <w:sz w:val="22"/>
        </w:rPr>
        <w:t>processing is necessary to protect vital interests where applicable; or</w:t>
      </w:r>
    </w:p>
    <w:p>
      <w:pPr>
        <w:pStyle w:val="ListBullet"/>
        <w:spacing w:after="60"/>
        <w:ind w:left="331" w:hanging="202"/>
      </w:pPr>
      <w:r>
        <w:rPr>
          <w:rFonts w:ascii="MTN Brighter Sans" w:hAnsi="MTN Brighter Sans" w:eastAsia="MTN Brighter Sans"/>
          <w:sz w:val="22"/>
        </w:rPr>
        <w:t>another lawful basis recognised under applicable law applies.</w:t>
      </w:r>
    </w:p>
    <w:p>
      <w:pPr>
        <w:keepLines w:val="0"/>
      </w:pPr>
      <w:r>
        <w:rPr>
          <w:rFonts w:ascii="MTN Brighter Sans" w:hAnsi="MTN Brighter Sans" w:eastAsia="MTN Brighter Sans"/>
          <w:b w:val="0"/>
          <w:i w:val="0"/>
          <w:color w:val="1F2937"/>
          <w:sz w:val="22"/>
        </w:rPr>
        <w:t>Consent will not be treated as the lawful basis where another legal basis properly applies.</w:t>
      </w:r>
    </w:p>
    <w:p>
      <w:pPr>
        <w:keepLines w:val="0"/>
      </w:pPr>
      <w:r>
        <w:rPr>
          <w:rFonts w:ascii="MTN Brighter Sans" w:hAnsi="MTN Brighter Sans" w:eastAsia="MTN Brighter Sans"/>
          <w:b w:val="0"/>
          <w:i w:val="0"/>
          <w:color w:val="1F2937"/>
          <w:sz w:val="22"/>
        </w:rPr>
        <w:t>You may withdraw consent where processing is based specifically on consent. Withdrawal does not invalidate lawful processing carried out before withdrawal.</w:t>
      </w:r>
    </w:p>
    <w:p>
      <w:pPr>
        <w:pStyle w:val="Heading1"/>
        <w:keepNext/>
      </w:pPr>
      <w:r>
        <w:t>7. Automated Screening and Risk Decisions</w:t>
      </w:r>
    </w:p>
    <w:p>
      <w:pPr>
        <w:keepLines w:val="0"/>
      </w:pPr>
      <w:r>
        <w:rPr>
          <w:rFonts w:ascii="MTN Brighter Sans" w:hAnsi="MTN Brighter Sans" w:eastAsia="MTN Brighter Sans"/>
          <w:b w:val="0"/>
          <w:i w:val="0"/>
          <w:color w:val="1F2937"/>
          <w:sz w:val="22"/>
        </w:rPr>
        <w:t>Koineckta and its service providers may use automated systems to assist with:</w:t>
      </w:r>
    </w:p>
    <w:p>
      <w:pPr>
        <w:pStyle w:val="ListBullet"/>
        <w:spacing w:after="60"/>
        <w:ind w:left="331" w:hanging="202"/>
      </w:pPr>
      <w:r>
        <w:rPr>
          <w:rFonts w:ascii="MTN Brighter Sans" w:hAnsi="MTN Brighter Sans" w:eastAsia="MTN Brighter Sans"/>
          <w:sz w:val="22"/>
        </w:rPr>
        <w:t>identity verification;</w:t>
      </w:r>
    </w:p>
    <w:p>
      <w:pPr>
        <w:pStyle w:val="ListBullet"/>
        <w:spacing w:after="60"/>
        <w:ind w:left="331" w:hanging="202"/>
      </w:pPr>
      <w:r>
        <w:rPr>
          <w:rFonts w:ascii="MTN Brighter Sans" w:hAnsi="MTN Brighter Sans" w:eastAsia="MTN Brighter Sans"/>
          <w:sz w:val="22"/>
        </w:rPr>
        <w:t>fraud detection;</w:t>
      </w:r>
    </w:p>
    <w:p>
      <w:pPr>
        <w:pStyle w:val="ListBullet"/>
        <w:spacing w:after="60"/>
        <w:ind w:left="331" w:hanging="202"/>
      </w:pPr>
      <w:r>
        <w:rPr>
          <w:rFonts w:ascii="MTN Brighter Sans" w:hAnsi="MTN Brighter Sans" w:eastAsia="MTN Brighter Sans"/>
          <w:sz w:val="22"/>
        </w:rPr>
        <w:t>transaction monitoring;</w:t>
      </w:r>
    </w:p>
    <w:p>
      <w:pPr>
        <w:pStyle w:val="ListBullet"/>
        <w:spacing w:after="60"/>
        <w:ind w:left="331" w:hanging="202"/>
      </w:pPr>
      <w:r>
        <w:rPr>
          <w:rFonts w:ascii="MTN Brighter Sans" w:hAnsi="MTN Brighter Sans" w:eastAsia="MTN Brighter Sans"/>
          <w:sz w:val="22"/>
        </w:rPr>
        <w:t>sanctions screening;</w:t>
      </w:r>
    </w:p>
    <w:p>
      <w:pPr>
        <w:pStyle w:val="ListBullet"/>
        <w:spacing w:after="60"/>
        <w:ind w:left="331" w:hanging="202"/>
      </w:pPr>
      <w:r>
        <w:rPr>
          <w:rFonts w:ascii="MTN Brighter Sans" w:hAnsi="MTN Brighter Sans" w:eastAsia="MTN Brighter Sans"/>
          <w:sz w:val="22"/>
        </w:rPr>
        <w:t>blockchain-risk assessment;</w:t>
      </w:r>
    </w:p>
    <w:p>
      <w:pPr>
        <w:pStyle w:val="ListBullet"/>
        <w:spacing w:after="60"/>
        <w:ind w:left="331" w:hanging="202"/>
      </w:pPr>
      <w:r>
        <w:rPr>
          <w:rFonts w:ascii="MTN Brighter Sans" w:hAnsi="MTN Brighter Sans" w:eastAsia="MTN Brighter Sans"/>
          <w:sz w:val="22"/>
        </w:rPr>
        <w:t>account-security monitoring; and</w:t>
      </w:r>
    </w:p>
    <w:p>
      <w:pPr>
        <w:pStyle w:val="ListBullet"/>
        <w:spacing w:after="60"/>
        <w:ind w:left="331" w:hanging="202"/>
      </w:pPr>
      <w:r>
        <w:rPr>
          <w:rFonts w:ascii="MTN Brighter Sans" w:hAnsi="MTN Brighter Sans" w:eastAsia="MTN Brighter Sans"/>
          <w:sz w:val="22"/>
        </w:rPr>
        <w:t>risk-based transaction controls.</w:t>
      </w:r>
    </w:p>
    <w:p>
      <w:pPr>
        <w:keepLines w:val="0"/>
      </w:pPr>
      <w:r>
        <w:rPr>
          <w:rFonts w:ascii="MTN Brighter Sans" w:hAnsi="MTN Brighter Sans" w:eastAsia="MTN Brighter Sans"/>
          <w:b w:val="0"/>
          <w:i w:val="0"/>
          <w:color w:val="1F2937"/>
          <w:sz w:val="22"/>
        </w:rPr>
        <w:t>Such systems may result in a transaction being delayed, reviewed, rejected or an account being temporarily restricted.</w:t>
      </w:r>
    </w:p>
    <w:p>
      <w:pPr>
        <w:keepLines w:val="0"/>
      </w:pPr>
      <w:r>
        <w:rPr>
          <w:rFonts w:ascii="MTN Brighter Sans" w:hAnsi="MTN Brighter Sans" w:eastAsia="MTN Brighter Sans"/>
          <w:b w:val="0"/>
          <w:i w:val="0"/>
          <w:color w:val="1F2937"/>
          <w:sz w:val="22"/>
        </w:rPr>
        <w:t>Where applicable law provides a right to challenge a decision based solely on automated processing that significantly affects you, you may contact us to request appropriate review.</w:t>
      </w:r>
    </w:p>
    <w:p>
      <w:pPr>
        <w:pStyle w:val="Heading1"/>
        <w:keepNext/>
      </w:pPr>
      <w:r>
        <w:t>8. How We Share Personal Data</w:t>
      </w:r>
    </w:p>
    <w:p>
      <w:pPr>
        <w:keepLines w:val="0"/>
      </w:pPr>
      <w:r>
        <w:rPr>
          <w:rFonts w:ascii="MTN Brighter Sans" w:hAnsi="MTN Brighter Sans" w:eastAsia="MTN Brighter Sans"/>
          <w:b w:val="0"/>
          <w:i w:val="0"/>
          <w:color w:val="1F2937"/>
          <w:sz w:val="22"/>
        </w:rPr>
        <w:t>Koineckta does not sell personal data.</w:t>
      </w:r>
    </w:p>
    <w:p>
      <w:pPr>
        <w:keepLines w:val="0"/>
      </w:pPr>
      <w:r>
        <w:rPr>
          <w:rFonts w:ascii="MTN Brighter Sans" w:hAnsi="MTN Brighter Sans" w:eastAsia="MTN Brighter Sans"/>
          <w:b w:val="0"/>
          <w:i w:val="0"/>
          <w:color w:val="1F2937"/>
          <w:sz w:val="22"/>
        </w:rPr>
        <w:t>We may disclose information where reasonably necessary to:</w:t>
      </w:r>
    </w:p>
    <w:p>
      <w:pPr>
        <w:pStyle w:val="Heading2"/>
        <w:keepNext/>
      </w:pPr>
      <w:r>
        <w:t>Service Providers</w:t>
      </w:r>
    </w:p>
    <w:p>
      <w:pPr>
        <w:keepLines w:val="0"/>
      </w:pPr>
      <w:r>
        <w:rPr>
          <w:rFonts w:ascii="MTN Brighter Sans" w:hAnsi="MTN Brighter Sans" w:eastAsia="MTN Brighter Sans"/>
          <w:b w:val="0"/>
          <w:i w:val="0"/>
          <w:color w:val="1F2937"/>
          <w:sz w:val="22"/>
        </w:rPr>
        <w:t>Including:</w:t>
      </w:r>
    </w:p>
    <w:p>
      <w:pPr>
        <w:pStyle w:val="ListBullet"/>
        <w:spacing w:after="60"/>
        <w:ind w:left="331" w:hanging="202"/>
      </w:pPr>
      <w:r>
        <w:rPr>
          <w:rFonts w:ascii="MTN Brighter Sans" w:hAnsi="MTN Brighter Sans" w:eastAsia="MTN Brighter Sans"/>
          <w:sz w:val="22"/>
        </w:rPr>
        <w:t>hosting and cloud providers;</w:t>
      </w:r>
    </w:p>
    <w:p>
      <w:pPr>
        <w:pStyle w:val="ListBullet"/>
        <w:spacing w:after="60"/>
        <w:ind w:left="331" w:hanging="202"/>
      </w:pPr>
      <w:r>
        <w:rPr>
          <w:rFonts w:ascii="MTN Brighter Sans" w:hAnsi="MTN Brighter Sans" w:eastAsia="MTN Brighter Sans"/>
          <w:sz w:val="22"/>
        </w:rPr>
        <w:t>identity-verification providers;</w:t>
      </w:r>
    </w:p>
    <w:p>
      <w:pPr>
        <w:pStyle w:val="ListBullet"/>
        <w:spacing w:after="60"/>
        <w:ind w:left="331" w:hanging="202"/>
      </w:pPr>
      <w:r>
        <w:rPr>
          <w:rFonts w:ascii="MTN Brighter Sans" w:hAnsi="MTN Brighter Sans" w:eastAsia="MTN Brighter Sans"/>
          <w:sz w:val="22"/>
        </w:rPr>
        <w:t>KYC/KYB providers;</w:t>
      </w:r>
    </w:p>
    <w:p>
      <w:pPr>
        <w:pStyle w:val="ListBullet"/>
        <w:spacing w:after="60"/>
        <w:ind w:left="331" w:hanging="202"/>
      </w:pPr>
      <w:r>
        <w:rPr>
          <w:rFonts w:ascii="MTN Brighter Sans" w:hAnsi="MTN Brighter Sans" w:eastAsia="MTN Brighter Sans"/>
          <w:sz w:val="22"/>
        </w:rPr>
        <w:t>AML, sanctions and transaction-monitoring providers;</w:t>
      </w:r>
    </w:p>
    <w:p>
      <w:pPr>
        <w:pStyle w:val="ListBullet"/>
        <w:spacing w:after="60"/>
        <w:ind w:left="331" w:hanging="202"/>
      </w:pPr>
      <w:r>
        <w:rPr>
          <w:rFonts w:ascii="MTN Brighter Sans" w:hAnsi="MTN Brighter Sans" w:eastAsia="MTN Brighter Sans"/>
          <w:sz w:val="22"/>
        </w:rPr>
        <w:t>blockchain-analysis providers;</w:t>
      </w:r>
    </w:p>
    <w:p>
      <w:pPr>
        <w:pStyle w:val="ListBullet"/>
        <w:spacing w:after="60"/>
        <w:ind w:left="331" w:hanging="202"/>
      </w:pPr>
      <w:r>
        <w:rPr>
          <w:rFonts w:ascii="MTN Brighter Sans" w:hAnsi="MTN Brighter Sans" w:eastAsia="MTN Brighter Sans"/>
          <w:sz w:val="22"/>
        </w:rPr>
        <w:t>wallet or custody infrastructure providers;</w:t>
      </w:r>
    </w:p>
    <w:p>
      <w:pPr>
        <w:pStyle w:val="ListBullet"/>
        <w:spacing w:after="60"/>
        <w:ind w:left="331" w:hanging="202"/>
      </w:pPr>
      <w:r>
        <w:rPr>
          <w:rFonts w:ascii="MTN Brighter Sans" w:hAnsi="MTN Brighter Sans" w:eastAsia="MTN Brighter Sans"/>
          <w:sz w:val="22"/>
        </w:rPr>
        <w:t>liquidity and conversion providers;</w:t>
      </w:r>
    </w:p>
    <w:p>
      <w:pPr>
        <w:pStyle w:val="ListBullet"/>
        <w:spacing w:after="60"/>
        <w:ind w:left="331" w:hanging="202"/>
      </w:pPr>
      <w:r>
        <w:rPr>
          <w:rFonts w:ascii="MTN Brighter Sans" w:hAnsi="MTN Brighter Sans" w:eastAsia="MTN Brighter Sans"/>
          <w:sz w:val="22"/>
        </w:rPr>
        <w:t>banks;</w:t>
      </w:r>
    </w:p>
    <w:p>
      <w:pPr>
        <w:pStyle w:val="ListBullet"/>
        <w:spacing w:after="60"/>
        <w:ind w:left="331" w:hanging="202"/>
      </w:pPr>
      <w:r>
        <w:rPr>
          <w:rFonts w:ascii="MTN Brighter Sans" w:hAnsi="MTN Brighter Sans" w:eastAsia="MTN Brighter Sans"/>
          <w:sz w:val="22"/>
        </w:rPr>
        <w:t>payment processors;</w:t>
      </w:r>
    </w:p>
    <w:p>
      <w:pPr>
        <w:pStyle w:val="ListBullet"/>
        <w:spacing w:after="60"/>
        <w:ind w:left="331" w:hanging="202"/>
      </w:pPr>
      <w:r>
        <w:rPr>
          <w:rFonts w:ascii="MTN Brighter Sans" w:hAnsi="MTN Brighter Sans" w:eastAsia="MTN Brighter Sans"/>
          <w:sz w:val="22"/>
        </w:rPr>
        <w:t>mobile-money operators;</w:t>
      </w:r>
    </w:p>
    <w:p>
      <w:pPr>
        <w:pStyle w:val="ListBullet"/>
        <w:spacing w:after="60"/>
        <w:ind w:left="331" w:hanging="202"/>
      </w:pPr>
      <w:r>
        <w:rPr>
          <w:rFonts w:ascii="MTN Brighter Sans" w:hAnsi="MTN Brighter Sans" w:eastAsia="MTN Brighter Sans"/>
          <w:sz w:val="22"/>
        </w:rPr>
        <w:t>telecommunications providers;</w:t>
      </w:r>
    </w:p>
    <w:p>
      <w:pPr>
        <w:pStyle w:val="ListBullet"/>
        <w:spacing w:after="60"/>
        <w:ind w:left="331" w:hanging="202"/>
      </w:pPr>
      <w:r>
        <w:rPr>
          <w:rFonts w:ascii="MTN Brighter Sans" w:hAnsi="MTN Brighter Sans" w:eastAsia="MTN Brighter Sans"/>
          <w:sz w:val="22"/>
        </w:rPr>
        <w:t>fraud-prevention vendors;</w:t>
      </w:r>
    </w:p>
    <w:p>
      <w:pPr>
        <w:pStyle w:val="ListBullet"/>
        <w:spacing w:after="60"/>
        <w:ind w:left="331" w:hanging="202"/>
      </w:pPr>
      <w:r>
        <w:rPr>
          <w:rFonts w:ascii="MTN Brighter Sans" w:hAnsi="MTN Brighter Sans" w:eastAsia="MTN Brighter Sans"/>
          <w:sz w:val="22"/>
        </w:rPr>
        <w:t>email and communications providers;</w:t>
      </w:r>
    </w:p>
    <w:p>
      <w:pPr>
        <w:pStyle w:val="ListBullet"/>
        <w:spacing w:after="60"/>
        <w:ind w:left="331" w:hanging="202"/>
      </w:pPr>
      <w:r>
        <w:rPr>
          <w:rFonts w:ascii="MTN Brighter Sans" w:hAnsi="MTN Brighter Sans" w:eastAsia="MTN Brighter Sans"/>
          <w:sz w:val="22"/>
        </w:rPr>
        <w:t>customer-support providers;</w:t>
      </w:r>
    </w:p>
    <w:p>
      <w:pPr>
        <w:pStyle w:val="ListBullet"/>
        <w:spacing w:after="60"/>
        <w:ind w:left="331" w:hanging="202"/>
      </w:pPr>
      <w:r>
        <w:rPr>
          <w:rFonts w:ascii="MTN Brighter Sans" w:hAnsi="MTN Brighter Sans" w:eastAsia="MTN Brighter Sans"/>
          <w:sz w:val="22"/>
        </w:rPr>
        <w:t>analytics providers; and</w:t>
      </w:r>
    </w:p>
    <w:p>
      <w:pPr>
        <w:pStyle w:val="ListBullet"/>
        <w:spacing w:after="60"/>
        <w:ind w:left="331" w:hanging="202"/>
      </w:pPr>
      <w:r>
        <w:rPr>
          <w:rFonts w:ascii="MTN Brighter Sans" w:hAnsi="MTN Brighter Sans" w:eastAsia="MTN Brighter Sans"/>
          <w:sz w:val="22"/>
        </w:rPr>
        <w:t>professional advisers.</w:t>
      </w:r>
    </w:p>
    <w:p>
      <w:pPr>
        <w:pStyle w:val="Heading2"/>
        <w:keepNext/>
      </w:pPr>
      <w:r>
        <w:t>Merchants and Transaction Counterparties</w:t>
      </w:r>
    </w:p>
    <w:p>
      <w:pPr>
        <w:keepLines w:val="0"/>
      </w:pPr>
      <w:r>
        <w:rPr>
          <w:rFonts w:ascii="MTN Brighter Sans" w:hAnsi="MTN Brighter Sans" w:eastAsia="MTN Brighter Sans"/>
          <w:b w:val="0"/>
          <w:i w:val="0"/>
          <w:color w:val="1F2937"/>
          <w:sz w:val="22"/>
        </w:rPr>
        <w:t>Where necessary to complete a payment or settlement, we may disclose information such as:</w:t>
      </w:r>
    </w:p>
    <w:p>
      <w:pPr>
        <w:pStyle w:val="ListBullet"/>
        <w:spacing w:after="60"/>
        <w:ind w:left="331" w:hanging="202"/>
      </w:pPr>
      <w:r>
        <w:rPr>
          <w:rFonts w:ascii="MTN Brighter Sans" w:hAnsi="MTN Brighter Sans" w:eastAsia="MTN Brighter Sans"/>
          <w:sz w:val="22"/>
        </w:rPr>
        <w:t>payment status;</w:t>
      </w:r>
    </w:p>
    <w:p>
      <w:pPr>
        <w:pStyle w:val="ListBullet"/>
        <w:spacing w:after="60"/>
        <w:ind w:left="331" w:hanging="202"/>
      </w:pPr>
      <w:r>
        <w:rPr>
          <w:rFonts w:ascii="MTN Brighter Sans" w:hAnsi="MTN Brighter Sans" w:eastAsia="MTN Brighter Sans"/>
          <w:sz w:val="22"/>
        </w:rPr>
        <w:t>transaction reference;</w:t>
      </w:r>
    </w:p>
    <w:p>
      <w:pPr>
        <w:pStyle w:val="ListBullet"/>
        <w:spacing w:after="60"/>
        <w:ind w:left="331" w:hanging="202"/>
      </w:pPr>
      <w:r>
        <w:rPr>
          <w:rFonts w:ascii="MTN Brighter Sans" w:hAnsi="MTN Brighter Sans" w:eastAsia="MTN Brighter Sans"/>
          <w:sz w:val="22"/>
        </w:rPr>
        <w:t>amount;</w:t>
      </w:r>
    </w:p>
    <w:p>
      <w:pPr>
        <w:pStyle w:val="ListBullet"/>
        <w:spacing w:after="60"/>
        <w:ind w:left="331" w:hanging="202"/>
      </w:pPr>
      <w:r>
        <w:rPr>
          <w:rFonts w:ascii="MTN Brighter Sans" w:hAnsi="MTN Brighter Sans" w:eastAsia="MTN Brighter Sans"/>
          <w:sz w:val="22"/>
        </w:rPr>
        <w:t>payer or recipient information where appropriate; and</w:t>
      </w:r>
    </w:p>
    <w:p>
      <w:pPr>
        <w:pStyle w:val="ListBullet"/>
        <w:spacing w:after="60"/>
        <w:ind w:left="331" w:hanging="202"/>
      </w:pPr>
      <w:r>
        <w:rPr>
          <w:rFonts w:ascii="MTN Brighter Sans" w:hAnsi="MTN Brighter Sans" w:eastAsia="MTN Brighter Sans"/>
          <w:sz w:val="22"/>
        </w:rPr>
        <w:t>settlement information.</w:t>
      </w:r>
    </w:p>
    <w:p>
      <w:pPr>
        <w:pStyle w:val="Heading2"/>
        <w:keepNext/>
      </w:pPr>
      <w:r>
        <w:t>Regulators and Authorities</w:t>
      </w:r>
    </w:p>
    <w:p>
      <w:pPr>
        <w:keepLines w:val="0"/>
      </w:pPr>
      <w:r>
        <w:rPr>
          <w:rFonts w:ascii="MTN Brighter Sans" w:hAnsi="MTN Brighter Sans" w:eastAsia="MTN Brighter Sans"/>
          <w:b w:val="0"/>
          <w:i w:val="0"/>
          <w:color w:val="1F2937"/>
          <w:sz w:val="22"/>
        </w:rPr>
        <w:t>We may disclose personal data where required or permitted by law to:</w:t>
      </w:r>
    </w:p>
    <w:p>
      <w:pPr>
        <w:pStyle w:val="ListBullet"/>
        <w:spacing w:after="60"/>
        <w:ind w:left="331" w:hanging="202"/>
      </w:pPr>
      <w:r>
        <w:rPr>
          <w:rFonts w:ascii="MTN Brighter Sans" w:hAnsi="MTN Brighter Sans" w:eastAsia="MTN Brighter Sans"/>
          <w:sz w:val="22"/>
        </w:rPr>
        <w:t>courts;</w:t>
      </w:r>
    </w:p>
    <w:p>
      <w:pPr>
        <w:pStyle w:val="ListBullet"/>
        <w:spacing w:after="60"/>
        <w:ind w:left="331" w:hanging="202"/>
      </w:pPr>
      <w:r>
        <w:rPr>
          <w:rFonts w:ascii="MTN Brighter Sans" w:hAnsi="MTN Brighter Sans" w:eastAsia="MTN Brighter Sans"/>
          <w:sz w:val="22"/>
        </w:rPr>
        <w:t>regulators;</w:t>
      </w:r>
    </w:p>
    <w:p>
      <w:pPr>
        <w:pStyle w:val="ListBullet"/>
        <w:spacing w:after="60"/>
        <w:ind w:left="331" w:hanging="202"/>
      </w:pPr>
      <w:r>
        <w:rPr>
          <w:rFonts w:ascii="MTN Brighter Sans" w:hAnsi="MTN Brighter Sans" w:eastAsia="MTN Brighter Sans"/>
          <w:sz w:val="22"/>
        </w:rPr>
        <w:t>law-enforcement agencies;</w:t>
      </w:r>
    </w:p>
    <w:p>
      <w:pPr>
        <w:pStyle w:val="ListBullet"/>
        <w:spacing w:after="60"/>
        <w:ind w:left="331" w:hanging="202"/>
      </w:pPr>
      <w:r>
        <w:rPr>
          <w:rFonts w:ascii="MTN Brighter Sans" w:hAnsi="MTN Brighter Sans" w:eastAsia="MTN Brighter Sans"/>
          <w:sz w:val="22"/>
        </w:rPr>
        <w:t>tax authorities;</w:t>
      </w:r>
    </w:p>
    <w:p>
      <w:pPr>
        <w:pStyle w:val="ListBullet"/>
        <w:spacing w:after="60"/>
        <w:ind w:left="331" w:hanging="202"/>
      </w:pPr>
      <w:r>
        <w:rPr>
          <w:rFonts w:ascii="MTN Brighter Sans" w:hAnsi="MTN Brighter Sans" w:eastAsia="MTN Brighter Sans"/>
          <w:sz w:val="22"/>
        </w:rPr>
        <w:t>financial-intelligence bodies; or</w:t>
      </w:r>
    </w:p>
    <w:p>
      <w:pPr>
        <w:pStyle w:val="ListBullet"/>
        <w:spacing w:after="60"/>
        <w:ind w:left="331" w:hanging="202"/>
      </w:pPr>
      <w:r>
        <w:rPr>
          <w:rFonts w:ascii="MTN Brighter Sans" w:hAnsi="MTN Brighter Sans" w:eastAsia="MTN Brighter Sans"/>
          <w:sz w:val="22"/>
        </w:rPr>
        <w:t>other competent governmental authorities.</w:t>
      </w:r>
    </w:p>
    <w:p>
      <w:pPr>
        <w:pStyle w:val="Heading2"/>
        <w:keepNext/>
      </w:pPr>
      <w:r>
        <w:t>Corporate Transactions</w:t>
      </w:r>
    </w:p>
    <w:p>
      <w:pPr>
        <w:keepLines w:val="0"/>
      </w:pPr>
      <w:r>
        <w:rPr>
          <w:rFonts w:ascii="MTN Brighter Sans" w:hAnsi="MTN Brighter Sans" w:eastAsia="MTN Brighter Sans"/>
          <w:b w:val="0"/>
          <w:i w:val="0"/>
          <w:color w:val="1F2937"/>
          <w:sz w:val="22"/>
        </w:rPr>
        <w:t>Information may be disclosed in connection with a:</w:t>
      </w:r>
    </w:p>
    <w:p>
      <w:pPr>
        <w:pStyle w:val="ListBullet"/>
        <w:spacing w:after="60"/>
        <w:ind w:left="331" w:hanging="202"/>
      </w:pPr>
      <w:r>
        <w:rPr>
          <w:rFonts w:ascii="MTN Brighter Sans" w:hAnsi="MTN Brighter Sans" w:eastAsia="MTN Brighter Sans"/>
          <w:sz w:val="22"/>
        </w:rPr>
        <w:t>merger;</w:t>
      </w:r>
    </w:p>
    <w:p>
      <w:pPr>
        <w:pStyle w:val="ListBullet"/>
        <w:spacing w:after="60"/>
        <w:ind w:left="331" w:hanging="202"/>
      </w:pPr>
      <w:r>
        <w:rPr>
          <w:rFonts w:ascii="MTN Brighter Sans" w:hAnsi="MTN Brighter Sans" w:eastAsia="MTN Brighter Sans"/>
          <w:sz w:val="22"/>
        </w:rPr>
        <w:t>acquisition;</w:t>
      </w:r>
    </w:p>
    <w:p>
      <w:pPr>
        <w:pStyle w:val="ListBullet"/>
        <w:spacing w:after="60"/>
        <w:ind w:left="331" w:hanging="202"/>
      </w:pPr>
      <w:r>
        <w:rPr>
          <w:rFonts w:ascii="MTN Brighter Sans" w:hAnsi="MTN Brighter Sans" w:eastAsia="MTN Brighter Sans"/>
          <w:sz w:val="22"/>
        </w:rPr>
        <w:t>financing;</w:t>
      </w:r>
    </w:p>
    <w:p>
      <w:pPr>
        <w:pStyle w:val="ListBullet"/>
        <w:spacing w:after="60"/>
        <w:ind w:left="331" w:hanging="202"/>
      </w:pPr>
      <w:r>
        <w:rPr>
          <w:rFonts w:ascii="MTN Brighter Sans" w:hAnsi="MTN Brighter Sans" w:eastAsia="MTN Brighter Sans"/>
          <w:sz w:val="22"/>
        </w:rPr>
        <w:t>restructuring;</w:t>
      </w:r>
    </w:p>
    <w:p>
      <w:pPr>
        <w:pStyle w:val="ListBullet"/>
        <w:spacing w:after="60"/>
        <w:ind w:left="331" w:hanging="202"/>
      </w:pPr>
      <w:r>
        <w:rPr>
          <w:rFonts w:ascii="MTN Brighter Sans" w:hAnsi="MTN Brighter Sans" w:eastAsia="MTN Brighter Sans"/>
          <w:sz w:val="22"/>
        </w:rPr>
        <w:t>sale of assets; or</w:t>
      </w:r>
    </w:p>
    <w:p>
      <w:pPr>
        <w:pStyle w:val="ListBullet"/>
        <w:spacing w:after="60"/>
        <w:ind w:left="331" w:hanging="202"/>
      </w:pPr>
      <w:r>
        <w:rPr>
          <w:rFonts w:ascii="MTN Brighter Sans" w:hAnsi="MTN Brighter Sans" w:eastAsia="MTN Brighter Sans"/>
          <w:sz w:val="22"/>
        </w:rPr>
        <w:t>similar corporate transaction.</w:t>
      </w:r>
    </w:p>
    <w:p>
      <w:pPr>
        <w:keepLines w:val="0"/>
      </w:pPr>
      <w:r>
        <w:rPr>
          <w:rFonts w:ascii="MTN Brighter Sans" w:hAnsi="MTN Brighter Sans" w:eastAsia="MTN Brighter Sans"/>
          <w:b w:val="0"/>
          <w:i w:val="0"/>
          <w:color w:val="1F2937"/>
          <w:sz w:val="22"/>
        </w:rPr>
        <w:t>Any such disclosure will be subject to appropriate confidentiality and legal safeguards.</w:t>
      </w:r>
    </w:p>
    <w:p>
      <w:pPr>
        <w:pStyle w:val="Heading1"/>
        <w:keepNext/>
      </w:pPr>
      <w:r>
        <w:t>9. International Data Transfers</w:t>
      </w:r>
    </w:p>
    <w:p>
      <w:pPr>
        <w:keepLines w:val="0"/>
      </w:pPr>
      <w:r>
        <w:rPr>
          <w:rFonts w:ascii="MTN Brighter Sans" w:hAnsi="MTN Brighter Sans" w:eastAsia="MTN Brighter Sans"/>
          <w:b w:val="0"/>
          <w:i w:val="0"/>
          <w:color w:val="1F2937"/>
          <w:sz w:val="22"/>
        </w:rPr>
        <w:t>Some Koineckta service providers or infrastructure may be located outside Nigeria.</w:t>
      </w:r>
    </w:p>
    <w:p>
      <w:pPr>
        <w:keepLines w:val="0"/>
      </w:pPr>
      <w:r>
        <w:rPr>
          <w:rFonts w:ascii="MTN Brighter Sans" w:hAnsi="MTN Brighter Sans" w:eastAsia="MTN Brighter Sans"/>
          <w:b w:val="0"/>
          <w:i w:val="0"/>
          <w:color w:val="1F2937"/>
          <w:sz w:val="22"/>
        </w:rPr>
        <w:t>Where personal data is transferred internationally, Koineckta will take reasonable and legally required steps to ensure an appropriate level of protection, which may include:</w:t>
      </w:r>
    </w:p>
    <w:p>
      <w:pPr>
        <w:pStyle w:val="ListBullet"/>
        <w:spacing w:after="60"/>
        <w:ind w:left="331" w:hanging="202"/>
      </w:pPr>
      <w:r>
        <w:rPr>
          <w:rFonts w:ascii="MTN Brighter Sans" w:hAnsi="MTN Brighter Sans" w:eastAsia="MTN Brighter Sans"/>
          <w:sz w:val="22"/>
        </w:rPr>
        <w:t>transfers to jurisdictions recognised as providing adequate protection;</w:t>
      </w:r>
    </w:p>
    <w:p>
      <w:pPr>
        <w:pStyle w:val="ListBullet"/>
        <w:spacing w:after="60"/>
        <w:ind w:left="331" w:hanging="202"/>
      </w:pPr>
      <w:r>
        <w:rPr>
          <w:rFonts w:ascii="MTN Brighter Sans" w:hAnsi="MTN Brighter Sans" w:eastAsia="MTN Brighter Sans"/>
          <w:sz w:val="22"/>
        </w:rPr>
        <w:t>contractual safeguards;</w:t>
      </w:r>
    </w:p>
    <w:p>
      <w:pPr>
        <w:pStyle w:val="ListBullet"/>
        <w:spacing w:after="60"/>
        <w:ind w:left="331" w:hanging="202"/>
      </w:pPr>
      <w:r>
        <w:rPr>
          <w:rFonts w:ascii="MTN Brighter Sans" w:hAnsi="MTN Brighter Sans" w:eastAsia="MTN Brighter Sans"/>
          <w:sz w:val="22"/>
        </w:rPr>
        <w:t>regulatory-approved mechanisms;</w:t>
      </w:r>
    </w:p>
    <w:p>
      <w:pPr>
        <w:pStyle w:val="ListBullet"/>
        <w:spacing w:after="60"/>
        <w:ind w:left="331" w:hanging="202"/>
      </w:pPr>
      <w:r>
        <w:rPr>
          <w:rFonts w:ascii="MTN Brighter Sans" w:hAnsi="MTN Brighter Sans" w:eastAsia="MTN Brighter Sans"/>
          <w:sz w:val="22"/>
        </w:rPr>
        <w:t>consent where legally appropriate; or</w:t>
      </w:r>
    </w:p>
    <w:p>
      <w:pPr>
        <w:pStyle w:val="ListBullet"/>
        <w:spacing w:after="60"/>
        <w:ind w:left="331" w:hanging="202"/>
      </w:pPr>
      <w:r>
        <w:rPr>
          <w:rFonts w:ascii="MTN Brighter Sans" w:hAnsi="MTN Brighter Sans" w:eastAsia="MTN Brighter Sans"/>
          <w:sz w:val="22"/>
        </w:rPr>
        <w:t>another legally permitted transfer mechanism.</w:t>
      </w:r>
    </w:p>
    <w:p>
      <w:pPr>
        <w:pStyle w:val="Heading1"/>
        <w:keepNext/>
      </w:pPr>
      <w:r>
        <w:t>10. Data Retention</w:t>
      </w:r>
    </w:p>
    <w:p>
      <w:pPr>
        <w:keepLines w:val="0"/>
      </w:pPr>
      <w:r>
        <w:rPr>
          <w:rFonts w:ascii="MTN Brighter Sans" w:hAnsi="MTN Brighter Sans" w:eastAsia="MTN Brighter Sans"/>
          <w:b w:val="0"/>
          <w:i w:val="0"/>
          <w:color w:val="1F2937"/>
          <w:sz w:val="22"/>
        </w:rPr>
        <w:t>Koineckta retains personal data only for as long as reasonably necessary for the purposes for which it was collected and to satisfy applicable:</w:t>
      </w:r>
    </w:p>
    <w:p>
      <w:pPr>
        <w:pStyle w:val="ListBullet"/>
        <w:spacing w:after="60"/>
        <w:ind w:left="331" w:hanging="202"/>
      </w:pPr>
      <w:r>
        <w:rPr>
          <w:rFonts w:ascii="MTN Brighter Sans" w:hAnsi="MTN Brighter Sans" w:eastAsia="MTN Brighter Sans"/>
          <w:sz w:val="22"/>
        </w:rPr>
        <w:t>legal requirements;</w:t>
      </w:r>
    </w:p>
    <w:p>
      <w:pPr>
        <w:pStyle w:val="ListBullet"/>
        <w:spacing w:after="60"/>
        <w:ind w:left="331" w:hanging="202"/>
      </w:pPr>
      <w:r>
        <w:rPr>
          <w:rFonts w:ascii="MTN Brighter Sans" w:hAnsi="MTN Brighter Sans" w:eastAsia="MTN Brighter Sans"/>
          <w:sz w:val="22"/>
        </w:rPr>
        <w:t>AML/CFT obligations;</w:t>
      </w:r>
    </w:p>
    <w:p>
      <w:pPr>
        <w:pStyle w:val="ListBullet"/>
        <w:spacing w:after="60"/>
        <w:ind w:left="331" w:hanging="202"/>
      </w:pPr>
      <w:r>
        <w:rPr>
          <w:rFonts w:ascii="MTN Brighter Sans" w:hAnsi="MTN Brighter Sans" w:eastAsia="MTN Brighter Sans"/>
          <w:sz w:val="22"/>
        </w:rPr>
        <w:t>regulatory obligations;</w:t>
      </w:r>
    </w:p>
    <w:p>
      <w:pPr>
        <w:pStyle w:val="ListBullet"/>
        <w:spacing w:after="60"/>
        <w:ind w:left="331" w:hanging="202"/>
      </w:pPr>
      <w:r>
        <w:rPr>
          <w:rFonts w:ascii="MTN Brighter Sans" w:hAnsi="MTN Brighter Sans" w:eastAsia="MTN Brighter Sans"/>
          <w:sz w:val="22"/>
        </w:rPr>
        <w:t>tax and accounting requirements;</w:t>
      </w:r>
    </w:p>
    <w:p>
      <w:pPr>
        <w:pStyle w:val="ListBullet"/>
        <w:spacing w:after="60"/>
        <w:ind w:left="331" w:hanging="202"/>
      </w:pPr>
      <w:r>
        <w:rPr>
          <w:rFonts w:ascii="MTN Brighter Sans" w:hAnsi="MTN Brighter Sans" w:eastAsia="MTN Brighter Sans"/>
          <w:sz w:val="22"/>
        </w:rPr>
        <w:t>dispute-resolution requirements;</w:t>
      </w:r>
    </w:p>
    <w:p>
      <w:pPr>
        <w:pStyle w:val="ListBullet"/>
        <w:spacing w:after="60"/>
        <w:ind w:left="331" w:hanging="202"/>
      </w:pPr>
      <w:r>
        <w:rPr>
          <w:rFonts w:ascii="MTN Brighter Sans" w:hAnsi="MTN Brighter Sans" w:eastAsia="MTN Brighter Sans"/>
          <w:sz w:val="22"/>
        </w:rPr>
        <w:t>fraud-prevention requirements; and</w:t>
      </w:r>
    </w:p>
    <w:p>
      <w:pPr>
        <w:pStyle w:val="ListBullet"/>
        <w:spacing w:after="60"/>
        <w:ind w:left="331" w:hanging="202"/>
      </w:pPr>
      <w:r>
        <w:rPr>
          <w:rFonts w:ascii="MTN Brighter Sans" w:hAnsi="MTN Brighter Sans" w:eastAsia="MTN Brighter Sans"/>
          <w:sz w:val="22"/>
        </w:rPr>
        <w:t>security needs.</w:t>
      </w:r>
    </w:p>
    <w:p>
      <w:pPr>
        <w:keepLines w:val="0"/>
      </w:pPr>
      <w:r>
        <w:rPr>
          <w:rFonts w:ascii="MTN Brighter Sans" w:hAnsi="MTN Brighter Sans" w:eastAsia="MTN Brighter Sans"/>
          <w:b w:val="0"/>
          <w:i w:val="0"/>
          <w:color w:val="1F2937"/>
          <w:sz w:val="22"/>
        </w:rPr>
        <w:t>Certain identity, KYC/KYB and transaction records may therefore be retained after an account is closed where applicable law requires or permits such retention.</w:t>
      </w:r>
    </w:p>
    <w:p>
      <w:pPr>
        <w:keepLines w:val="0"/>
      </w:pPr>
      <w:r>
        <w:rPr>
          <w:rFonts w:ascii="MTN Brighter Sans" w:hAnsi="MTN Brighter Sans" w:eastAsia="MTN Brighter Sans"/>
          <w:b w:val="0"/>
          <w:i w:val="0"/>
          <w:color w:val="1F2937"/>
          <w:sz w:val="22"/>
        </w:rPr>
        <w:t>Once information is no longer required, it will be deleted, anonymised or securely disposed of in accordance with applicable requirements.</w:t>
      </w:r>
    </w:p>
    <w:p>
      <w:pPr>
        <w:pStyle w:val="Heading1"/>
        <w:keepNext/>
      </w:pPr>
      <w:r>
        <w:t>11. Data Security</w:t>
      </w:r>
    </w:p>
    <w:p>
      <w:pPr>
        <w:keepLines w:val="0"/>
      </w:pPr>
      <w:r>
        <w:rPr>
          <w:rFonts w:ascii="MTN Brighter Sans" w:hAnsi="MTN Brighter Sans" w:eastAsia="MTN Brighter Sans"/>
          <w:b w:val="0"/>
          <w:i w:val="0"/>
          <w:color w:val="1F2937"/>
          <w:sz w:val="22"/>
        </w:rPr>
        <w:t>Koineckta uses administrative, organisational and technical safeguards designed to protect personal data against:</w:t>
      </w:r>
    </w:p>
    <w:p>
      <w:pPr>
        <w:pStyle w:val="ListBullet"/>
        <w:spacing w:after="60"/>
        <w:ind w:left="331" w:hanging="202"/>
      </w:pPr>
      <w:r>
        <w:rPr>
          <w:rFonts w:ascii="MTN Brighter Sans" w:hAnsi="MTN Brighter Sans" w:eastAsia="MTN Brighter Sans"/>
          <w:sz w:val="22"/>
        </w:rPr>
        <w:t>unauthorised access;</w:t>
      </w:r>
    </w:p>
    <w:p>
      <w:pPr>
        <w:pStyle w:val="ListBullet"/>
        <w:spacing w:after="60"/>
        <w:ind w:left="331" w:hanging="202"/>
      </w:pPr>
      <w:r>
        <w:rPr>
          <w:rFonts w:ascii="MTN Brighter Sans" w:hAnsi="MTN Brighter Sans" w:eastAsia="MTN Brighter Sans"/>
          <w:sz w:val="22"/>
        </w:rPr>
        <w:t>accidental loss;</w:t>
      </w:r>
    </w:p>
    <w:p>
      <w:pPr>
        <w:pStyle w:val="ListBullet"/>
        <w:spacing w:after="60"/>
        <w:ind w:left="331" w:hanging="202"/>
      </w:pPr>
      <w:r>
        <w:rPr>
          <w:rFonts w:ascii="MTN Brighter Sans" w:hAnsi="MTN Brighter Sans" w:eastAsia="MTN Brighter Sans"/>
          <w:sz w:val="22"/>
        </w:rPr>
        <w:t>misuse;</w:t>
      </w:r>
    </w:p>
    <w:p>
      <w:pPr>
        <w:pStyle w:val="ListBullet"/>
        <w:spacing w:after="60"/>
        <w:ind w:left="331" w:hanging="202"/>
      </w:pPr>
      <w:r>
        <w:rPr>
          <w:rFonts w:ascii="MTN Brighter Sans" w:hAnsi="MTN Brighter Sans" w:eastAsia="MTN Brighter Sans"/>
          <w:sz w:val="22"/>
        </w:rPr>
        <w:t>alteration;</w:t>
      </w:r>
    </w:p>
    <w:p>
      <w:pPr>
        <w:pStyle w:val="ListBullet"/>
        <w:spacing w:after="60"/>
        <w:ind w:left="331" w:hanging="202"/>
      </w:pPr>
      <w:r>
        <w:rPr>
          <w:rFonts w:ascii="MTN Brighter Sans" w:hAnsi="MTN Brighter Sans" w:eastAsia="MTN Brighter Sans"/>
          <w:sz w:val="22"/>
        </w:rPr>
        <w:t>disclosure; and</w:t>
      </w:r>
    </w:p>
    <w:p>
      <w:pPr>
        <w:pStyle w:val="ListBullet"/>
        <w:spacing w:after="60"/>
        <w:ind w:left="331" w:hanging="202"/>
      </w:pPr>
      <w:r>
        <w:rPr>
          <w:rFonts w:ascii="MTN Brighter Sans" w:hAnsi="MTN Brighter Sans" w:eastAsia="MTN Brighter Sans"/>
          <w:sz w:val="22"/>
        </w:rPr>
        <w:t>destruction.</w:t>
      </w:r>
    </w:p>
    <w:p>
      <w:pPr>
        <w:keepLines w:val="0"/>
      </w:pPr>
      <w:r>
        <w:rPr>
          <w:rFonts w:ascii="MTN Brighter Sans" w:hAnsi="MTN Brighter Sans" w:eastAsia="MTN Brighter Sans"/>
          <w:b w:val="0"/>
          <w:i w:val="0"/>
          <w:color w:val="1F2937"/>
          <w:sz w:val="22"/>
        </w:rPr>
        <w:t>Controls may include encryption, access restrictions, authentication controls, monitoring, audit logging, secure development practices and vendor-risk management.</w:t>
      </w:r>
    </w:p>
    <w:p>
      <w:pPr>
        <w:keepLines w:val="0"/>
      </w:pPr>
      <w:r>
        <w:rPr>
          <w:rFonts w:ascii="MTN Brighter Sans" w:hAnsi="MTN Brighter Sans" w:eastAsia="MTN Brighter Sans"/>
          <w:b w:val="0"/>
          <w:i w:val="0"/>
          <w:color w:val="1F2937"/>
          <w:sz w:val="22"/>
        </w:rPr>
        <w:t>No electronic or internet-based system can, however, be guaranteed to be completely secure.</w:t>
      </w:r>
    </w:p>
    <w:p>
      <w:pPr>
        <w:keepLines w:val="0"/>
      </w:pPr>
      <w:r>
        <w:rPr>
          <w:rFonts w:ascii="MTN Brighter Sans" w:hAnsi="MTN Brighter Sans" w:eastAsia="MTN Brighter Sans"/>
          <w:b w:val="0"/>
          <w:i w:val="0"/>
          <w:color w:val="1F2937"/>
          <w:sz w:val="22"/>
        </w:rPr>
        <w:t>You are responsible for protecting passwords, authentication credentials, devices and other account-security information under your control.</w:t>
      </w:r>
    </w:p>
    <w:p>
      <w:pPr>
        <w:pStyle w:val="Heading1"/>
        <w:keepNext/>
      </w:pPr>
      <w:r>
        <w:t>12. Your Privacy Rights</w:t>
      </w:r>
    </w:p>
    <w:p>
      <w:pPr>
        <w:keepLines w:val="0"/>
      </w:pPr>
      <w:r>
        <w:rPr>
          <w:rFonts w:ascii="MTN Brighter Sans" w:hAnsi="MTN Brighter Sans" w:eastAsia="MTN Brighter Sans"/>
          <w:b w:val="0"/>
          <w:i w:val="0"/>
          <w:color w:val="1F2937"/>
          <w:sz w:val="22"/>
        </w:rPr>
        <w:t>Subject to applicable law, you may have rights to:</w:t>
      </w:r>
    </w:p>
    <w:p>
      <w:pPr>
        <w:pStyle w:val="ListBullet"/>
        <w:spacing w:after="60"/>
        <w:ind w:left="331" w:hanging="202"/>
      </w:pPr>
      <w:r>
        <w:rPr>
          <w:rFonts w:ascii="MTN Brighter Sans" w:hAnsi="MTN Brighter Sans" w:eastAsia="MTN Brighter Sans"/>
          <w:sz w:val="22"/>
        </w:rPr>
        <w:t>be informed about processing of your personal data;</w:t>
      </w:r>
    </w:p>
    <w:p>
      <w:pPr>
        <w:pStyle w:val="ListBullet"/>
        <w:spacing w:after="60"/>
        <w:ind w:left="331" w:hanging="202"/>
      </w:pPr>
      <w:r>
        <w:rPr>
          <w:rFonts w:ascii="MTN Brighter Sans" w:hAnsi="MTN Brighter Sans" w:eastAsia="MTN Brighter Sans"/>
          <w:sz w:val="22"/>
        </w:rPr>
        <w:t>access personal data held about you;</w:t>
      </w:r>
    </w:p>
    <w:p>
      <w:pPr>
        <w:pStyle w:val="ListBullet"/>
        <w:spacing w:after="60"/>
        <w:ind w:left="331" w:hanging="202"/>
      </w:pPr>
      <w:r>
        <w:rPr>
          <w:rFonts w:ascii="MTN Brighter Sans" w:hAnsi="MTN Brighter Sans" w:eastAsia="MTN Brighter Sans"/>
          <w:sz w:val="22"/>
        </w:rPr>
        <w:t>request correction of inaccurate or incomplete data;</w:t>
      </w:r>
    </w:p>
    <w:p>
      <w:pPr>
        <w:pStyle w:val="ListBullet"/>
        <w:spacing w:after="60"/>
        <w:ind w:left="331" w:hanging="202"/>
      </w:pPr>
      <w:r>
        <w:rPr>
          <w:rFonts w:ascii="MTN Brighter Sans" w:hAnsi="MTN Brighter Sans" w:eastAsia="MTN Brighter Sans"/>
          <w:sz w:val="22"/>
        </w:rPr>
        <w:t>request deletion where legally applicable;</w:t>
      </w:r>
    </w:p>
    <w:p>
      <w:pPr>
        <w:pStyle w:val="ListBullet"/>
        <w:spacing w:after="60"/>
        <w:ind w:left="331" w:hanging="202"/>
      </w:pPr>
      <w:r>
        <w:rPr>
          <w:rFonts w:ascii="MTN Brighter Sans" w:hAnsi="MTN Brighter Sans" w:eastAsia="MTN Brighter Sans"/>
          <w:sz w:val="22"/>
        </w:rPr>
        <w:t>request restriction of certain processing;</w:t>
      </w:r>
    </w:p>
    <w:p>
      <w:pPr>
        <w:pStyle w:val="ListBullet"/>
        <w:spacing w:after="60"/>
        <w:ind w:left="331" w:hanging="202"/>
      </w:pPr>
      <w:r>
        <w:rPr>
          <w:rFonts w:ascii="MTN Brighter Sans" w:hAnsi="MTN Brighter Sans" w:eastAsia="MTN Brighter Sans"/>
          <w:sz w:val="22"/>
        </w:rPr>
        <w:t>object to certain processing;</w:t>
      </w:r>
    </w:p>
    <w:p>
      <w:pPr>
        <w:pStyle w:val="ListBullet"/>
        <w:spacing w:after="60"/>
        <w:ind w:left="331" w:hanging="202"/>
      </w:pPr>
      <w:r>
        <w:rPr>
          <w:rFonts w:ascii="MTN Brighter Sans" w:hAnsi="MTN Brighter Sans" w:eastAsia="MTN Brighter Sans"/>
          <w:sz w:val="22"/>
        </w:rPr>
        <w:t>withdraw consent where consent is the applicable lawful basis;</w:t>
      </w:r>
    </w:p>
    <w:p>
      <w:pPr>
        <w:pStyle w:val="ListBullet"/>
        <w:spacing w:after="60"/>
        <w:ind w:left="331" w:hanging="202"/>
      </w:pPr>
      <w:r>
        <w:rPr>
          <w:rFonts w:ascii="MTN Brighter Sans" w:hAnsi="MTN Brighter Sans" w:eastAsia="MTN Brighter Sans"/>
          <w:sz w:val="22"/>
        </w:rPr>
        <w:t>request portability of eligible personal data;</w:t>
      </w:r>
    </w:p>
    <w:p>
      <w:pPr>
        <w:pStyle w:val="ListBullet"/>
        <w:spacing w:after="60"/>
        <w:ind w:left="331" w:hanging="202"/>
      </w:pPr>
      <w:r>
        <w:rPr>
          <w:rFonts w:ascii="MTN Brighter Sans" w:hAnsi="MTN Brighter Sans" w:eastAsia="MTN Brighter Sans"/>
          <w:sz w:val="22"/>
        </w:rPr>
        <w:t>object to direct marketing;</w:t>
      </w:r>
    </w:p>
    <w:p>
      <w:pPr>
        <w:pStyle w:val="ListBullet"/>
        <w:spacing w:after="60"/>
        <w:ind w:left="331" w:hanging="202"/>
      </w:pPr>
      <w:r>
        <w:rPr>
          <w:rFonts w:ascii="MTN Brighter Sans" w:hAnsi="MTN Brighter Sans" w:eastAsia="MTN Brighter Sans"/>
          <w:sz w:val="22"/>
        </w:rPr>
        <w:t>seek review of certain automated decisions; and</w:t>
      </w:r>
    </w:p>
    <w:p>
      <w:pPr>
        <w:pStyle w:val="ListBullet"/>
        <w:spacing w:after="60"/>
        <w:ind w:left="331" w:hanging="202"/>
      </w:pPr>
      <w:r>
        <w:rPr>
          <w:rFonts w:ascii="MTN Brighter Sans" w:hAnsi="MTN Brighter Sans" w:eastAsia="MTN Brighter Sans"/>
          <w:sz w:val="22"/>
        </w:rPr>
        <w:t>lodge a complaint with the Nigeria Data Protection Commission or another competent authority.</w:t>
      </w:r>
    </w:p>
    <w:p>
      <w:pPr>
        <w:keepLines w:val="0"/>
      </w:pPr>
      <w:r>
        <w:rPr>
          <w:rFonts w:ascii="MTN Brighter Sans" w:hAnsi="MTN Brighter Sans" w:eastAsia="MTN Brighter Sans"/>
          <w:b w:val="0"/>
          <w:i w:val="0"/>
          <w:color w:val="1F2937"/>
          <w:sz w:val="22"/>
        </w:rPr>
        <w:t>Some requests may be restricted where Koineckta must retain or process information to comply with law, resolve disputes, prevent fraud or protect legal rights.</w:t>
      </w:r>
    </w:p>
    <w:p>
      <w:pPr>
        <w:keepLines w:val="0"/>
      </w:pPr>
      <w:r>
        <w:rPr>
          <w:rFonts w:ascii="MTN Brighter Sans" w:hAnsi="MTN Brighter Sans" w:eastAsia="MTN Brighter Sans"/>
          <w:b w:val="0"/>
          <w:i w:val="0"/>
          <w:color w:val="1F2937"/>
          <w:sz w:val="22"/>
        </w:rPr>
        <w:t>We may need to verify your identity before acting on a privacy request.</w:t>
      </w:r>
    </w:p>
    <w:p>
      <w:pPr>
        <w:pStyle w:val="Heading1"/>
        <w:keepNext/>
      </w:pPr>
      <w:r>
        <w:t>13. Children</w:t>
      </w:r>
    </w:p>
    <w:p>
      <w:pPr>
        <w:keepLines w:val="0"/>
      </w:pPr>
      <w:r>
        <w:rPr>
          <w:rFonts w:ascii="MTN Brighter Sans" w:hAnsi="MTN Brighter Sans" w:eastAsia="MTN Brighter Sans"/>
          <w:b w:val="0"/>
          <w:i w:val="0"/>
          <w:color w:val="1F2937"/>
          <w:sz w:val="22"/>
        </w:rPr>
        <w:t>Koineckta’s financial and digital-asset Services are not intended for persons under 18 years of age, unless a particular service expressly states otherwise and is legally permitted.</w:t>
      </w:r>
    </w:p>
    <w:p>
      <w:pPr>
        <w:keepLines w:val="0"/>
      </w:pPr>
      <w:r>
        <w:rPr>
          <w:rFonts w:ascii="MTN Brighter Sans" w:hAnsi="MTN Brighter Sans" w:eastAsia="MTN Brighter Sans"/>
          <w:b w:val="0"/>
          <w:i w:val="0"/>
          <w:color w:val="1F2937"/>
          <w:sz w:val="22"/>
        </w:rPr>
        <w:t>We do not knowingly permit minors to establish standard Koineckta transactional accounts.</w:t>
      </w:r>
    </w:p>
    <w:p>
      <w:pPr>
        <w:keepLines w:val="0"/>
      </w:pPr>
      <w:r>
        <w:rPr>
          <w:rFonts w:ascii="MTN Brighter Sans" w:hAnsi="MTN Brighter Sans" w:eastAsia="MTN Brighter Sans"/>
          <w:b w:val="0"/>
          <w:i w:val="0"/>
          <w:color w:val="1F2937"/>
          <w:sz w:val="22"/>
        </w:rPr>
        <w:t>If we become aware that personal data has been collected from a minor contrary to our requirements, appropriate steps will be taken.</w:t>
      </w:r>
    </w:p>
    <w:p>
      <w:pPr>
        <w:pStyle w:val="Heading1"/>
        <w:keepNext/>
      </w:pPr>
      <w:r>
        <w:t>14. Cookies and Similar Technologies</w:t>
      </w:r>
    </w:p>
    <w:p>
      <w:pPr>
        <w:keepLines w:val="0"/>
      </w:pPr>
      <w:r>
        <w:rPr>
          <w:rFonts w:ascii="MTN Brighter Sans" w:hAnsi="MTN Brighter Sans" w:eastAsia="MTN Brighter Sans"/>
          <w:b w:val="0"/>
          <w:i w:val="0"/>
          <w:color w:val="1F2937"/>
          <w:sz w:val="22"/>
        </w:rPr>
        <w:t>Koineckta websites may use cookies and similar technologies for:</w:t>
      </w:r>
    </w:p>
    <w:p>
      <w:pPr>
        <w:pStyle w:val="ListBullet"/>
        <w:spacing w:after="60"/>
        <w:ind w:left="331" w:hanging="202"/>
      </w:pPr>
      <w:r>
        <w:rPr>
          <w:rFonts w:ascii="MTN Brighter Sans" w:hAnsi="MTN Brighter Sans" w:eastAsia="MTN Brighter Sans"/>
          <w:sz w:val="22"/>
        </w:rPr>
        <w:t>essential website functionality;</w:t>
      </w:r>
    </w:p>
    <w:p>
      <w:pPr>
        <w:pStyle w:val="ListBullet"/>
        <w:spacing w:after="60"/>
        <w:ind w:left="331" w:hanging="202"/>
      </w:pPr>
      <w:r>
        <w:rPr>
          <w:rFonts w:ascii="MTN Brighter Sans" w:hAnsi="MTN Brighter Sans" w:eastAsia="MTN Brighter Sans"/>
          <w:sz w:val="22"/>
        </w:rPr>
        <w:t>security;</w:t>
      </w:r>
    </w:p>
    <w:p>
      <w:pPr>
        <w:pStyle w:val="ListBullet"/>
        <w:spacing w:after="60"/>
        <w:ind w:left="331" w:hanging="202"/>
      </w:pPr>
      <w:r>
        <w:rPr>
          <w:rFonts w:ascii="MTN Brighter Sans" w:hAnsi="MTN Brighter Sans" w:eastAsia="MTN Brighter Sans"/>
          <w:sz w:val="22"/>
        </w:rPr>
        <w:t>authentication;</w:t>
      </w:r>
    </w:p>
    <w:p>
      <w:pPr>
        <w:pStyle w:val="ListBullet"/>
        <w:spacing w:after="60"/>
        <w:ind w:left="331" w:hanging="202"/>
      </w:pPr>
      <w:r>
        <w:rPr>
          <w:rFonts w:ascii="MTN Brighter Sans" w:hAnsi="MTN Brighter Sans" w:eastAsia="MTN Brighter Sans"/>
          <w:sz w:val="22"/>
        </w:rPr>
        <w:t>remembering preferences;</w:t>
      </w:r>
    </w:p>
    <w:p>
      <w:pPr>
        <w:pStyle w:val="ListBullet"/>
        <w:spacing w:after="60"/>
        <w:ind w:left="331" w:hanging="202"/>
      </w:pPr>
      <w:r>
        <w:rPr>
          <w:rFonts w:ascii="MTN Brighter Sans" w:hAnsi="MTN Brighter Sans" w:eastAsia="MTN Brighter Sans"/>
          <w:sz w:val="22"/>
        </w:rPr>
        <w:t>analytics;</w:t>
      </w:r>
    </w:p>
    <w:p>
      <w:pPr>
        <w:pStyle w:val="ListBullet"/>
        <w:spacing w:after="60"/>
        <w:ind w:left="331" w:hanging="202"/>
      </w:pPr>
      <w:r>
        <w:rPr>
          <w:rFonts w:ascii="MTN Brighter Sans" w:hAnsi="MTN Brighter Sans" w:eastAsia="MTN Brighter Sans"/>
          <w:sz w:val="22"/>
        </w:rPr>
        <w:t>performance measurement; and</w:t>
      </w:r>
    </w:p>
    <w:p>
      <w:pPr>
        <w:pStyle w:val="ListBullet"/>
        <w:spacing w:after="60"/>
        <w:ind w:left="331" w:hanging="202"/>
      </w:pPr>
      <w:r>
        <w:rPr>
          <w:rFonts w:ascii="MTN Brighter Sans" w:hAnsi="MTN Brighter Sans" w:eastAsia="MTN Brighter Sans"/>
          <w:sz w:val="22"/>
        </w:rPr>
        <w:t>marketing where permitted.</w:t>
      </w:r>
    </w:p>
    <w:p>
      <w:pPr>
        <w:keepLines w:val="0"/>
      </w:pPr>
      <w:r>
        <w:rPr>
          <w:rFonts w:ascii="MTN Brighter Sans" w:hAnsi="MTN Brighter Sans" w:eastAsia="MTN Brighter Sans"/>
          <w:b w:val="0"/>
          <w:i w:val="0"/>
          <w:color w:val="1F2937"/>
          <w:sz w:val="22"/>
        </w:rPr>
        <w:t>Where required, non-essential cookies will be activated only after appropriate consent. Users should be provided with access to cookie-preference controls where applicable.</w:t>
      </w:r>
    </w:p>
    <w:p>
      <w:pPr>
        <w:pStyle w:val="Heading1"/>
        <w:keepNext/>
      </w:pPr>
      <w:r>
        <w:t>15. Marketing Communications</w:t>
      </w:r>
    </w:p>
    <w:p>
      <w:pPr>
        <w:keepLines w:val="0"/>
      </w:pPr>
      <w:r>
        <w:rPr>
          <w:rFonts w:ascii="MTN Brighter Sans" w:hAnsi="MTN Brighter Sans" w:eastAsia="MTN Brighter Sans"/>
          <w:b w:val="0"/>
          <w:i w:val="0"/>
          <w:color w:val="1F2937"/>
          <w:sz w:val="22"/>
        </w:rPr>
        <w:t>Where permitted, Koineckta may send product information, promotions or updates.</w:t>
      </w:r>
    </w:p>
    <w:p>
      <w:pPr>
        <w:keepLines w:val="0"/>
      </w:pPr>
      <w:r>
        <w:rPr>
          <w:rFonts w:ascii="MTN Brighter Sans" w:hAnsi="MTN Brighter Sans" w:eastAsia="MTN Brighter Sans"/>
          <w:b w:val="0"/>
          <w:i w:val="0"/>
          <w:color w:val="1F2937"/>
          <w:sz w:val="22"/>
        </w:rPr>
        <w:t>You may opt out of non-essential marketing communications at any time using the unsubscribe mechanism provided or by contacting us.</w:t>
      </w:r>
    </w:p>
    <w:p>
      <w:pPr>
        <w:keepLines w:val="0"/>
      </w:pPr>
      <w:r>
        <w:rPr>
          <w:rFonts w:ascii="MTN Brighter Sans" w:hAnsi="MTN Brighter Sans" w:eastAsia="MTN Brighter Sans"/>
          <w:b w:val="0"/>
          <w:i w:val="0"/>
          <w:color w:val="1F2937"/>
          <w:sz w:val="22"/>
        </w:rPr>
        <w:t>Operational, security, legal and transaction-related communications may still be sent where necessary.</w:t>
      </w:r>
    </w:p>
    <w:p>
      <w:pPr>
        <w:pStyle w:val="Heading1"/>
        <w:keepNext/>
      </w:pPr>
      <w:r>
        <w:t>16. Third-Party Services and Links</w:t>
      </w:r>
    </w:p>
    <w:p>
      <w:pPr>
        <w:keepLines w:val="0"/>
      </w:pPr>
      <w:r>
        <w:rPr>
          <w:rFonts w:ascii="MTN Brighter Sans" w:hAnsi="MTN Brighter Sans" w:eastAsia="MTN Brighter Sans"/>
          <w:b w:val="0"/>
          <w:i w:val="0"/>
          <w:color w:val="1F2937"/>
          <w:sz w:val="22"/>
        </w:rPr>
        <w:t>The Services may contain links or integrations with third parties.</w:t>
      </w:r>
    </w:p>
    <w:p>
      <w:pPr>
        <w:keepLines w:val="0"/>
      </w:pPr>
      <w:r>
        <w:rPr>
          <w:rFonts w:ascii="MTN Brighter Sans" w:hAnsi="MTN Brighter Sans" w:eastAsia="MTN Brighter Sans"/>
          <w:b w:val="0"/>
          <w:i w:val="0"/>
          <w:color w:val="1F2937"/>
          <w:sz w:val="22"/>
        </w:rPr>
        <w:t>Koineckta is not responsible for the privacy practices of third-party websites or services that operate independently from Koineckta.</w:t>
      </w:r>
    </w:p>
    <w:p>
      <w:pPr>
        <w:keepLines w:val="0"/>
      </w:pPr>
      <w:r>
        <w:rPr>
          <w:rFonts w:ascii="MTN Brighter Sans" w:hAnsi="MTN Brighter Sans" w:eastAsia="MTN Brighter Sans"/>
          <w:b w:val="0"/>
          <w:i w:val="0"/>
          <w:color w:val="1F2937"/>
          <w:sz w:val="22"/>
        </w:rPr>
        <w:t>You should review their applicable privacy notices before providing personal information.</w:t>
      </w:r>
    </w:p>
    <w:p>
      <w:pPr>
        <w:pStyle w:val="Heading1"/>
        <w:keepNext/>
      </w:pPr>
      <w:r>
        <w:t>17. Data Breaches</w:t>
      </w:r>
    </w:p>
    <w:p>
      <w:pPr>
        <w:keepLines w:val="0"/>
      </w:pPr>
      <w:r>
        <w:rPr>
          <w:rFonts w:ascii="MTN Brighter Sans" w:hAnsi="MTN Brighter Sans" w:eastAsia="MTN Brighter Sans"/>
          <w:b w:val="0"/>
          <w:i w:val="0"/>
          <w:color w:val="1F2937"/>
          <w:sz w:val="22"/>
        </w:rPr>
        <w:t>Where Koineckta becomes aware of a personal-data breach, we will investigate and take appropriate remedial action.</w:t>
      </w:r>
    </w:p>
    <w:p>
      <w:pPr>
        <w:keepLines w:val="0"/>
      </w:pPr>
      <w:r>
        <w:rPr>
          <w:rFonts w:ascii="MTN Brighter Sans" w:hAnsi="MTN Brighter Sans" w:eastAsia="MTN Brighter Sans"/>
          <w:b w:val="0"/>
          <w:i w:val="0"/>
          <w:color w:val="1F2937"/>
          <w:sz w:val="22"/>
        </w:rPr>
        <w:t>Where required by applicable law, Koineckta will notify the NDPC and affected individuals within the applicable regulatory requirements.</w:t>
      </w:r>
    </w:p>
    <w:p>
      <w:pPr>
        <w:pStyle w:val="Heading1"/>
        <w:keepNext/>
      </w:pPr>
      <w:r>
        <w:t>18. Changes to this Privacy Policy</w:t>
      </w:r>
    </w:p>
    <w:p>
      <w:pPr>
        <w:keepLines w:val="0"/>
      </w:pPr>
      <w:r>
        <w:rPr>
          <w:rFonts w:ascii="MTN Brighter Sans" w:hAnsi="MTN Brighter Sans" w:eastAsia="MTN Brighter Sans"/>
          <w:b w:val="0"/>
          <w:i w:val="0"/>
          <w:color w:val="1F2937"/>
          <w:sz w:val="22"/>
        </w:rPr>
        <w:t>We may amend this Privacy Policy periodically to reflect changes to the Services, operational changes, changes in law, regulatory requirements or improvements to our privacy practices.</w:t>
      </w:r>
    </w:p>
    <w:p>
      <w:pPr>
        <w:keepLines w:val="0"/>
      </w:pPr>
      <w:r>
        <w:rPr>
          <w:rFonts w:ascii="MTN Brighter Sans" w:hAnsi="MTN Brighter Sans" w:eastAsia="MTN Brighter Sans"/>
          <w:b w:val="0"/>
          <w:i w:val="0"/>
          <w:color w:val="1F2937"/>
          <w:sz w:val="22"/>
        </w:rPr>
        <w:t>Material changes will be communicated through an appropriate channel.</w:t>
      </w:r>
    </w:p>
    <w:p>
      <w:pPr>
        <w:keepLines w:val="0"/>
      </w:pPr>
      <w:r>
        <w:rPr>
          <w:rFonts w:ascii="MTN Brighter Sans" w:hAnsi="MTN Brighter Sans" w:eastAsia="MTN Brighter Sans"/>
          <w:b w:val="0"/>
          <w:i w:val="0"/>
          <w:color w:val="1F2937"/>
          <w:sz w:val="22"/>
        </w:rPr>
        <w:t>The date shown at the top of this Policy indicates the latest version.</w:t>
      </w:r>
    </w:p>
    <w:p>
      <w:pPr>
        <w:pStyle w:val="Heading1"/>
        <w:keepNext/>
      </w:pPr>
      <w:r>
        <w:t>19. Contact Us</w:t>
      </w:r>
    </w:p>
    <w:tbl>
      <w:tblPr>
        <w:tblW w:type="auto" w:w="0"/>
        <w:tblLayout w:type="fixed"/>
        <w:tblLook w:firstColumn="1" w:firstRow="1" w:lastColumn="0" w:lastRow="0" w:noHBand="0" w:noVBand="1" w:val="04A0"/>
      </w:tblPr>
      <w:tblGrid>
        <w:gridCol w:w="2232"/>
        <w:gridCol w:w="8136"/>
      </w:tblGrid>
      <w:tr>
        <w:tc>
          <w:tcPr>
            <w:tcW w:type="dxa" w:w="4968"/>
            <w:shd w:fill="F5F6F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sz w:val="19"/>
              </w:rPr>
              <w:t>Legal Entity</w:t>
            </w:r>
          </w:p>
        </w:tc>
        <w:tc>
          <w:tcPr>
            <w:tcW w:type="dxa" w:w="496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val="0"/>
                <w:sz w:val="19"/>
              </w:rPr>
              <w:t>KOINECKTA TECHNOLOGIES LIMITED</w:t>
            </w:r>
          </w:p>
        </w:tc>
      </w:tr>
      <w:tr>
        <w:tc>
          <w:tcPr>
            <w:tcW w:type="dxa" w:w="4968"/>
            <w:shd w:fill="F5F6F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sz w:val="19"/>
              </w:rPr>
              <w:t>Registered Address</w:t>
            </w:r>
          </w:p>
        </w:tc>
        <w:tc>
          <w:tcPr>
            <w:tcW w:type="dxa" w:w="496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val="0"/>
                <w:sz w:val="19"/>
              </w:rPr>
              <w:t>Plot 2, Road 2, Ikota Villa Estate, Lekki, Lagos Island LGA, Lagos State 101342, Nigeria</w:t>
            </w:r>
          </w:p>
        </w:tc>
      </w:tr>
      <w:tr>
        <w:tc>
          <w:tcPr>
            <w:tcW w:type="dxa" w:w="4968"/>
            <w:shd w:fill="F5F6F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sz w:val="19"/>
              </w:rPr>
              <w:t>Legal</w:t>
            </w:r>
          </w:p>
        </w:tc>
        <w:tc>
          <w:tcPr>
            <w:tcW w:type="dxa" w:w="496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val="0"/>
                <w:sz w:val="19"/>
              </w:rPr>
              <w:t>legal@koineckta.com</w:t>
            </w:r>
          </w:p>
        </w:tc>
      </w:tr>
      <w:tr>
        <w:tc>
          <w:tcPr>
            <w:tcW w:type="dxa" w:w="4968"/>
            <w:shd w:fill="F5F6F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sz w:val="19"/>
              </w:rPr>
              <w:t>Support</w:t>
            </w:r>
          </w:p>
        </w:tc>
        <w:tc>
          <w:tcPr>
            <w:tcW w:type="dxa" w:w="496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val="0"/>
                <w:sz w:val="19"/>
              </w:rPr>
              <w:t>support@koineckta.com</w:t>
            </w:r>
          </w:p>
        </w:tc>
      </w:tr>
    </w:tbl>
    <w:p>
      <w:pPr>
        <w:keepLines w:val="0"/>
      </w:pPr>
      <w:r>
        <w:rPr>
          <w:rFonts w:ascii="MTN Brighter Sans" w:hAnsi="MTN Brighter Sans" w:eastAsia="MTN Brighter Sans"/>
          <w:b w:val="0"/>
          <w:i w:val="0"/>
          <w:color w:val="1F2937"/>
          <w:sz w:val="22"/>
        </w:rPr>
        <w:t>For privacy and data-protection enquiries, please contact legal@koineckta.com. Where applicable, contact details for Koineckta’s Data Protection Officer or Data Protection Compliance Organisation will be made available through the Services.</w:t>
      </w:r>
    </w:p>
    <w:p>
      <w:pPr>
        <w:keepLines w:val="0"/>
      </w:pPr>
      <w:r>
        <w:rPr>
          <w:rFonts w:ascii="MTN Brighter Sans" w:hAnsi="MTN Brighter Sans" w:eastAsia="MTN Brighter Sans"/>
          <w:b w:val="0"/>
          <w:i w:val="0"/>
          <w:color w:val="1F2937"/>
          <w:sz w:val="22"/>
        </w:rPr>
        <w:t>You also have the right, where applicable, to lodge a complaint with the Nigeria Data Protection Commission (NDPC).</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TN Brighter Sans" w:hAnsi="MTN Brighter Sans" w:eastAsia="MTN Brighter Sans"/>
        <w:b w:val="0"/>
        <w:color w:val="6B7280"/>
        <w:sz w:val="16"/>
      </w:rPr>
      <w:t xml:space="preserve">© 2026 Koineckta Technologies Limited  •  </w:t>
    </w:r>
    <w:r>
      <w:rPr>
        <w:rFonts w:ascii="MTN Brighter Sans" w:hAnsi="MTN Brighter Sans" w:eastAsia="MTN Brighter Sans"/>
        <w:b w:val="0"/>
        <w:color w:val="6B7280"/>
        <w:sz w:val="16"/>
      </w:rPr>
      <w:t xml:space="preserve">Page </w:t>
    </w:r>
    <w:fldSimple w:instr="PAGE">
      <w:r>
        <w:rPr>
          <w:rFonts w:ascii="MTN Brighter Sans" w:hAnsi="MTN Brighter Sans"/>
          <w:sz w:val="16"/>
          <w:color w:val="6B7280"/>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TN Brighter Sans" w:hAnsi="MTN Brighter Sans" w:eastAsia="MTN Brighter Sans"/>
        <w:b/>
        <w:color w:val="F28C28"/>
        <w:sz w:val="18"/>
      </w:rPr>
      <w:t>KOINECKTA</w:t>
    </w:r>
    <w:r>
      <w:rPr>
        <w:rFonts w:ascii="MTN Brighter Sans" w:hAnsi="MTN Brighter Sans" w:eastAsia="MTN Brighter Sans"/>
        <w:b w:val="0"/>
        <w:color w:val="6B7280"/>
        <w:sz w:val="17"/>
      </w:rPr>
      <w:t xml:space="preserve">  |  KOINECKTA PRIVACY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MTN Brighter Sans" w:hAnsi="MTN Brighter Sans" w:eastAsia="MTN Brighter Sans"/>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MTN Brighter Sans" w:hAnsi="MTN Brighter Sans" w:eastAsia="MTN Brighter Sans"/>
      <w:b/>
      <w:bCs/>
      <w:color w:val="1F2937"/>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MTN Brighter Sans" w:hAnsi="MTN Brighter Sans" w:eastAsia="MTN Brighter Sans"/>
      <w:b/>
      <w:bCs/>
      <w:color w:val="1F293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MTN Brighter Sans" w:hAnsi="MTN Brighter Sans" w:eastAsia="MTN Brighter Sans"/>
      <w:b/>
      <w:bCs/>
      <w:color w:val="1F293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MTN Brighter Sans" w:hAnsi="MTN Brighter Sans" w:eastAsia="MTN Brighter Sans"/>
      <w:b/>
      <w:color w:val="1F2937"/>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Koineckta Privacy Policy</dc:title>
  <dc:subject>Koineckta Privacy Policy for Koineckta</dc:subject>
  <dc:creator>KOINECKTA TECHNOLOGIES LIMITED</dc:creator>
  <cp:keywords>Koineckta, legal, policy, fintech, digital assets, Nigeria</cp:keywords>
  <dc:description>Publication-ready legal document for Koineckta websites and applications.</dc:description>
  <cp:lastModifiedBy/>
  <cp:revision>1</cp:revision>
  <dcterms:created xsi:type="dcterms:W3CDTF">2013-12-23T23:15:00Z</dcterms:created>
  <dcterms:modified xsi:type="dcterms:W3CDTF">2013-12-23T23:15:00Z</dcterms:modified>
  <cp:category/>
</cp:coreProperties>
</file>