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rFonts w:ascii="MTN Brighter Sans" w:hAnsi="MTN Brighter Sans" w:eastAsia="MTN Brighter Sans"/>
          <w:b/>
          <w:color w:val="1F2937"/>
          <w:sz w:val="44"/>
        </w:rPr>
        <w:t>Koineckta Website and Product Disclaimer</w:t>
      </w:r>
    </w:p>
    <w:p>
      <w:pPr>
        <w:spacing w:after="240"/>
      </w:pPr>
      <w:r>
        <w:rPr>
          <w:rFonts w:ascii="MTN Brighter Sans" w:hAnsi="MTN Brighter Sans" w:eastAsia="MTN Brighter Sans"/>
          <w:b/>
          <w:color w:val="F28C28"/>
          <w:sz w:val="20"/>
        </w:rPr>
        <w:t>KOINECKTA TECHNOLOGIES LIMITED</w:t>
      </w:r>
    </w:p>
    <w:tbl>
      <w:tblPr>
        <w:tblW w:type="auto" w:w="0"/>
        <w:tblLayout w:type="fixed"/>
        <w:tblLook w:firstColumn="1" w:firstRow="1" w:lastColumn="0" w:lastRow="0" w:noHBand="0" w:noVBand="1" w:val="04A0"/>
      </w:tblPr>
      <w:tblGrid>
        <w:gridCol w:w="1944"/>
        <w:gridCol w:w="8568"/>
      </w:tblGrid>
      <w:tr>
        <w:tc>
          <w:tcPr>
            <w:tcW w:type="dxa" w:w="4968"/>
            <w:vAlign w:val="center"/>
            <w:shd w:fill="F5F6F8"/>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color w:val="1F2937"/>
                <w:sz w:val="19"/>
              </w:rPr>
              <w:t>Version</w:t>
            </w:r>
          </w:p>
        </w:tc>
        <w:tc>
          <w:tcPr>
            <w:tcW w:type="dxa" w:w="4968"/>
            <w:vAlign w:val="center"/>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val="0"/>
                <w:color w:val="1F2937"/>
                <w:sz w:val="19"/>
              </w:rPr>
              <w:t>1.0</w:t>
            </w:r>
          </w:p>
        </w:tc>
      </w:tr>
      <w:tr>
        <w:tc>
          <w:tcPr>
            <w:tcW w:type="dxa" w:w="4968"/>
            <w:vAlign w:val="center"/>
            <w:shd w:fill="F5F6F8"/>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color w:val="1F2937"/>
                <w:sz w:val="19"/>
              </w:rPr>
              <w:t>Effective Date</w:t>
            </w:r>
          </w:p>
        </w:tc>
        <w:tc>
          <w:tcPr>
            <w:tcW w:type="dxa" w:w="4968"/>
            <w:vAlign w:val="center"/>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val="0"/>
                <w:color w:val="1F2937"/>
                <w:sz w:val="19"/>
              </w:rPr>
              <w:t>24 August 2026</w:t>
            </w:r>
          </w:p>
        </w:tc>
      </w:tr>
      <w:tr>
        <w:tc>
          <w:tcPr>
            <w:tcW w:type="dxa" w:w="4968"/>
            <w:vAlign w:val="center"/>
            <w:shd w:fill="F5F6F8"/>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color w:val="1F2937"/>
                <w:sz w:val="19"/>
              </w:rPr>
              <w:t>Last Updated</w:t>
            </w:r>
          </w:p>
        </w:tc>
        <w:tc>
          <w:tcPr>
            <w:tcW w:type="dxa" w:w="4968"/>
            <w:vAlign w:val="center"/>
            <w:tcBorders>
              <w:top w:val="single" w:sz="4" w:color="D9DDE3"/>
              <w:left w:val="single" w:sz="4" w:color="D9DDE3"/>
              <w:bottom w:val="single" w:sz="4" w:color="D9DDE3"/>
              <w:right w:val="single" w:sz="4" w:color="D9DDE3"/>
            </w:tcBorders>
          </w:tcPr>
          <w:p>
            <w:pPr>
              <w:spacing w:after="0"/>
            </w:pPr>
            <w:r>
              <w:rPr>
                <w:rFonts w:ascii="MTN Brighter Sans" w:hAnsi="MTN Brighter Sans" w:eastAsia="MTN Brighter Sans"/>
                <w:b w:val="0"/>
                <w:color w:val="1F2937"/>
                <w:sz w:val="19"/>
              </w:rPr>
              <w:t>24 August 2026</w:t>
            </w:r>
          </w:p>
        </w:tc>
      </w:tr>
    </w:tbl>
    <w:p>
      <w:pPr>
        <w:spacing w:after="40"/>
      </w:pPr>
    </w:p>
    <w:p>
      <w:pPr>
        <w:keepLines w:val="0"/>
      </w:pPr>
      <w:r>
        <w:rPr>
          <w:rFonts w:ascii="MTN Brighter Sans" w:hAnsi="MTN Brighter Sans" w:eastAsia="MTN Brighter Sans"/>
          <w:b w:val="0"/>
          <w:i w:val="0"/>
          <w:color w:val="1F2937"/>
          <w:sz w:val="22"/>
        </w:rPr>
        <w:t>This Disclaimer applies to Koineckta websites, applications, merchant portals, communications and related services.</w:t>
      </w:r>
    </w:p>
    <w:p>
      <w:pPr>
        <w:keepLines w:val="0"/>
      </w:pPr>
      <w:r>
        <w:rPr>
          <w:rFonts w:ascii="MTN Brighter Sans" w:hAnsi="MTN Brighter Sans" w:eastAsia="MTN Brighter Sans"/>
          <w:b w:val="0"/>
          <w:i w:val="0"/>
          <w:color w:val="1F2937"/>
          <w:sz w:val="22"/>
        </w:rPr>
        <w:t>Koineckta is operated by KOINECKTA TECHNOLOGIES LIMITED, a company incorporated under the laws of the Federal Republic of Nigeria with registered address at Plot 2, Road 2, Ikota Villa Estate, Lekki, Lagos Island LGA, Lagos State 101342, Nigeria (“Koineckta”, “we”, “us” or “our”).</w:t>
      </w:r>
    </w:p>
    <w:p>
      <w:pPr>
        <w:pStyle w:val="Heading1"/>
        <w:keepNext/>
      </w:pPr>
      <w:r>
        <w:t>1. General Information</w:t>
      </w:r>
    </w:p>
    <w:p>
      <w:pPr>
        <w:keepLines w:val="0"/>
      </w:pPr>
      <w:r>
        <w:rPr>
          <w:rFonts w:ascii="MTN Brighter Sans" w:hAnsi="MTN Brighter Sans" w:eastAsia="MTN Brighter Sans"/>
          <w:b w:val="0"/>
          <w:i w:val="0"/>
          <w:color w:val="1F2937"/>
          <w:sz w:val="22"/>
        </w:rPr>
        <w:t>Information made available by Koineckta is provided for general product, payment and service purposes.</w:t>
      </w:r>
    </w:p>
    <w:p>
      <w:pPr>
        <w:keepLines w:val="0"/>
      </w:pPr>
      <w:r>
        <w:rPr>
          <w:rFonts w:ascii="MTN Brighter Sans" w:hAnsi="MTN Brighter Sans" w:eastAsia="MTN Brighter Sans"/>
          <w:b w:val="0"/>
          <w:i w:val="0"/>
          <w:color w:val="1F2937"/>
          <w:sz w:val="22"/>
        </w:rPr>
        <w:t>Although reasonable efforts are made to keep information accurate and current, Koineckta does not represent that every piece of website, application or educational content will at all times be complete, error-free or current.</w:t>
      </w:r>
    </w:p>
    <w:p>
      <w:pPr>
        <w:keepLines w:val="0"/>
      </w:pPr>
      <w:r>
        <w:rPr>
          <w:rFonts w:ascii="MTN Brighter Sans" w:hAnsi="MTN Brighter Sans" w:eastAsia="MTN Brighter Sans"/>
          <w:b w:val="0"/>
          <w:i w:val="0"/>
          <w:color w:val="1F2937"/>
          <w:sz w:val="22"/>
        </w:rPr>
        <w:t>Specific transaction information displayed at the point of confirmation should take precedence over general promotional information.</w:t>
      </w:r>
    </w:p>
    <w:p>
      <w:pPr>
        <w:pStyle w:val="Heading1"/>
        <w:keepNext/>
      </w:pPr>
      <w:r>
        <w:t>2. Not Investment or Financial Advice</w:t>
      </w:r>
    </w:p>
    <w:p>
      <w:pPr>
        <w:keepLines w:val="0"/>
      </w:pPr>
      <w:r>
        <w:rPr>
          <w:rFonts w:ascii="MTN Brighter Sans" w:hAnsi="MTN Brighter Sans" w:eastAsia="MTN Brighter Sans"/>
          <w:b w:val="0"/>
          <w:i w:val="0"/>
          <w:color w:val="1F2937"/>
          <w:sz w:val="22"/>
        </w:rPr>
        <w:t>Koineckta is designed to facilitate payments and related digital-asset and local-currency services.</w:t>
      </w:r>
    </w:p>
    <w:p>
      <w:pPr>
        <w:keepLines w:val="0"/>
      </w:pPr>
      <w:r>
        <w:rPr>
          <w:rFonts w:ascii="MTN Brighter Sans" w:hAnsi="MTN Brighter Sans" w:eastAsia="MTN Brighter Sans"/>
          <w:b w:val="0"/>
          <w:i w:val="0"/>
          <w:color w:val="1F2937"/>
          <w:sz w:val="22"/>
        </w:rPr>
        <w:t>Unless expressly stated and legally authorised, Koineckta does not provide investment, securities, financial-planning, legal, accounting or tax advice.</w:t>
      </w:r>
    </w:p>
    <w:p>
      <w:pPr>
        <w:keepLines w:val="0"/>
      </w:pPr>
      <w:r>
        <w:rPr>
          <w:rFonts w:ascii="MTN Brighter Sans" w:hAnsi="MTN Brighter Sans" w:eastAsia="MTN Brighter Sans"/>
          <w:b w:val="0"/>
          <w:i w:val="0"/>
          <w:color w:val="1F2937"/>
          <w:sz w:val="22"/>
        </w:rPr>
        <w:t>Information concerning a digital asset should not be interpreted as:</w:t>
      </w:r>
    </w:p>
    <w:p>
      <w:pPr>
        <w:pStyle w:val="ListBullet"/>
        <w:spacing w:after="60"/>
        <w:ind w:left="331" w:hanging="202"/>
      </w:pPr>
      <w:r>
        <w:rPr>
          <w:rFonts w:ascii="MTN Brighter Sans" w:hAnsi="MTN Brighter Sans" w:eastAsia="MTN Brighter Sans"/>
          <w:sz w:val="22"/>
        </w:rPr>
        <w:t>an endorsement;</w:t>
      </w:r>
    </w:p>
    <w:p>
      <w:pPr>
        <w:pStyle w:val="ListBullet"/>
        <w:spacing w:after="60"/>
        <w:ind w:left="331" w:hanging="202"/>
      </w:pPr>
      <w:r>
        <w:rPr>
          <w:rFonts w:ascii="MTN Brighter Sans" w:hAnsi="MTN Brighter Sans" w:eastAsia="MTN Brighter Sans"/>
          <w:sz w:val="22"/>
        </w:rPr>
        <w:t>a recommendation to purchase or hold it;</w:t>
      </w:r>
    </w:p>
    <w:p>
      <w:pPr>
        <w:pStyle w:val="ListBullet"/>
        <w:spacing w:after="60"/>
        <w:ind w:left="331" w:hanging="202"/>
      </w:pPr>
      <w:r>
        <w:rPr>
          <w:rFonts w:ascii="MTN Brighter Sans" w:hAnsi="MTN Brighter Sans" w:eastAsia="MTN Brighter Sans"/>
          <w:sz w:val="22"/>
        </w:rPr>
        <w:t>a prediction of future value;</w:t>
      </w:r>
    </w:p>
    <w:p>
      <w:pPr>
        <w:pStyle w:val="ListBullet"/>
        <w:spacing w:after="60"/>
        <w:ind w:left="331" w:hanging="202"/>
      </w:pPr>
      <w:r>
        <w:rPr>
          <w:rFonts w:ascii="MTN Brighter Sans" w:hAnsi="MTN Brighter Sans" w:eastAsia="MTN Brighter Sans"/>
          <w:sz w:val="22"/>
        </w:rPr>
        <w:t>an investment solicitation; or</w:t>
      </w:r>
    </w:p>
    <w:p>
      <w:pPr>
        <w:pStyle w:val="ListBullet"/>
        <w:spacing w:after="60"/>
        <w:ind w:left="331" w:hanging="202"/>
      </w:pPr>
      <w:r>
        <w:rPr>
          <w:rFonts w:ascii="MTN Brighter Sans" w:hAnsi="MTN Brighter Sans" w:eastAsia="MTN Brighter Sans"/>
          <w:sz w:val="22"/>
        </w:rPr>
        <w:t>a guarantee of returns.</w:t>
      </w:r>
    </w:p>
    <w:p>
      <w:pPr>
        <w:keepLines w:val="0"/>
      </w:pPr>
      <w:r>
        <w:rPr>
          <w:rFonts w:ascii="MTN Brighter Sans" w:hAnsi="MTN Brighter Sans" w:eastAsia="MTN Brighter Sans"/>
          <w:b w:val="0"/>
          <w:i w:val="0"/>
          <w:color w:val="1F2937"/>
          <w:sz w:val="22"/>
        </w:rPr>
        <w:t>Users must make their own decisions and obtain professional advice where appropriate.</w:t>
      </w:r>
    </w:p>
    <w:p>
      <w:pPr>
        <w:pStyle w:val="Heading1"/>
        <w:keepNext/>
      </w:pPr>
      <w:r>
        <w:t>3. Digital Assets Carry Risk</w:t>
      </w:r>
    </w:p>
    <w:p>
      <w:pPr>
        <w:keepLines w:val="0"/>
      </w:pPr>
      <w:r>
        <w:rPr>
          <w:rFonts w:ascii="MTN Brighter Sans" w:hAnsi="MTN Brighter Sans" w:eastAsia="MTN Brighter Sans"/>
          <w:b w:val="0"/>
          <w:i w:val="0"/>
          <w:color w:val="1F2937"/>
          <w:sz w:val="22"/>
        </w:rPr>
        <w:t>Digital assets can be highly volatile and may lose substantial or all value.</w:t>
      </w:r>
    </w:p>
    <w:p>
      <w:pPr>
        <w:keepLines w:val="0"/>
      </w:pPr>
      <w:r>
        <w:rPr>
          <w:rFonts w:ascii="MTN Brighter Sans" w:hAnsi="MTN Brighter Sans" w:eastAsia="MTN Brighter Sans"/>
          <w:b w:val="0"/>
          <w:i w:val="0"/>
          <w:color w:val="1F2937"/>
          <w:sz w:val="22"/>
        </w:rPr>
        <w:t>Risks include:</w:t>
      </w:r>
    </w:p>
    <w:p>
      <w:pPr>
        <w:pStyle w:val="ListBullet"/>
        <w:spacing w:after="60"/>
        <w:ind w:left="331" w:hanging="202"/>
      </w:pPr>
      <w:r>
        <w:rPr>
          <w:rFonts w:ascii="MTN Brighter Sans" w:hAnsi="MTN Brighter Sans" w:eastAsia="MTN Brighter Sans"/>
          <w:sz w:val="22"/>
        </w:rPr>
        <w:t>market volatility;</w:t>
      </w:r>
    </w:p>
    <w:p>
      <w:pPr>
        <w:pStyle w:val="ListBullet"/>
        <w:spacing w:after="60"/>
        <w:ind w:left="331" w:hanging="202"/>
      </w:pPr>
      <w:r>
        <w:rPr>
          <w:rFonts w:ascii="MTN Brighter Sans" w:hAnsi="MTN Brighter Sans" w:eastAsia="MTN Brighter Sans"/>
          <w:sz w:val="22"/>
        </w:rPr>
        <w:t>liquidity risk;</w:t>
      </w:r>
    </w:p>
    <w:p>
      <w:pPr>
        <w:pStyle w:val="ListBullet"/>
        <w:spacing w:after="60"/>
        <w:ind w:left="331" w:hanging="202"/>
      </w:pPr>
      <w:r>
        <w:rPr>
          <w:rFonts w:ascii="MTN Brighter Sans" w:hAnsi="MTN Brighter Sans" w:eastAsia="MTN Brighter Sans"/>
          <w:sz w:val="22"/>
        </w:rPr>
        <w:t>regulatory changes;</w:t>
      </w:r>
    </w:p>
    <w:p>
      <w:pPr>
        <w:pStyle w:val="ListBullet"/>
        <w:spacing w:after="60"/>
        <w:ind w:left="331" w:hanging="202"/>
      </w:pPr>
      <w:r>
        <w:rPr>
          <w:rFonts w:ascii="MTN Brighter Sans" w:hAnsi="MTN Brighter Sans" w:eastAsia="MTN Brighter Sans"/>
          <w:sz w:val="22"/>
        </w:rPr>
        <w:t>cybersecurity attacks;</w:t>
      </w:r>
    </w:p>
    <w:p>
      <w:pPr>
        <w:pStyle w:val="ListBullet"/>
        <w:spacing w:after="60"/>
        <w:ind w:left="331" w:hanging="202"/>
      </w:pPr>
      <w:r>
        <w:rPr>
          <w:rFonts w:ascii="MTN Brighter Sans" w:hAnsi="MTN Brighter Sans" w:eastAsia="MTN Brighter Sans"/>
          <w:sz w:val="22"/>
        </w:rPr>
        <w:t>blockchain congestion;</w:t>
      </w:r>
    </w:p>
    <w:p>
      <w:pPr>
        <w:pStyle w:val="ListBullet"/>
        <w:spacing w:after="60"/>
        <w:ind w:left="331" w:hanging="202"/>
      </w:pPr>
      <w:r>
        <w:rPr>
          <w:rFonts w:ascii="MTN Brighter Sans" w:hAnsi="MTN Brighter Sans" w:eastAsia="MTN Brighter Sans"/>
          <w:sz w:val="22"/>
        </w:rPr>
        <w:t>protocol failure;</w:t>
      </w:r>
    </w:p>
    <w:p>
      <w:pPr>
        <w:pStyle w:val="ListBullet"/>
        <w:spacing w:after="60"/>
        <w:ind w:left="331" w:hanging="202"/>
      </w:pPr>
      <w:r>
        <w:rPr>
          <w:rFonts w:ascii="MTN Brighter Sans" w:hAnsi="MTN Brighter Sans" w:eastAsia="MTN Brighter Sans"/>
          <w:sz w:val="22"/>
        </w:rPr>
        <w:t>smart-contract vulnerabilities;</w:t>
      </w:r>
    </w:p>
    <w:p>
      <w:pPr>
        <w:pStyle w:val="ListBullet"/>
        <w:spacing w:after="60"/>
        <w:ind w:left="331" w:hanging="202"/>
      </w:pPr>
      <w:r>
        <w:rPr>
          <w:rFonts w:ascii="MTN Brighter Sans" w:hAnsi="MTN Brighter Sans" w:eastAsia="MTN Brighter Sans"/>
          <w:sz w:val="22"/>
        </w:rPr>
        <w:t>stablecoin de-pegging;</w:t>
      </w:r>
    </w:p>
    <w:p>
      <w:pPr>
        <w:pStyle w:val="ListBullet"/>
        <w:spacing w:after="60"/>
        <w:ind w:left="331" w:hanging="202"/>
      </w:pPr>
      <w:r>
        <w:rPr>
          <w:rFonts w:ascii="MTN Brighter Sans" w:hAnsi="MTN Brighter Sans" w:eastAsia="MTN Brighter Sans"/>
          <w:sz w:val="22"/>
        </w:rPr>
        <w:t>forks;</w:t>
      </w:r>
    </w:p>
    <w:p>
      <w:pPr>
        <w:pStyle w:val="ListBullet"/>
        <w:spacing w:after="60"/>
        <w:ind w:left="331" w:hanging="202"/>
      </w:pPr>
      <w:r>
        <w:rPr>
          <w:rFonts w:ascii="MTN Brighter Sans" w:hAnsi="MTN Brighter Sans" w:eastAsia="MTN Brighter Sans"/>
          <w:sz w:val="22"/>
        </w:rPr>
        <w:t>network fees;</w:t>
      </w:r>
    </w:p>
    <w:p>
      <w:pPr>
        <w:pStyle w:val="ListBullet"/>
        <w:spacing w:after="60"/>
        <w:ind w:left="331" w:hanging="202"/>
      </w:pPr>
      <w:r>
        <w:rPr>
          <w:rFonts w:ascii="MTN Brighter Sans" w:hAnsi="MTN Brighter Sans" w:eastAsia="MTN Brighter Sans"/>
          <w:sz w:val="22"/>
        </w:rPr>
        <w:t>irreversible transactions; and</w:t>
      </w:r>
    </w:p>
    <w:p>
      <w:pPr>
        <w:pStyle w:val="ListBullet"/>
        <w:spacing w:after="60"/>
        <w:ind w:left="331" w:hanging="202"/>
      </w:pPr>
      <w:r>
        <w:rPr>
          <w:rFonts w:ascii="MTN Brighter Sans" w:hAnsi="MTN Brighter Sans" w:eastAsia="MTN Brighter Sans"/>
          <w:sz w:val="22"/>
        </w:rPr>
        <w:t>loss caused by incorrect wallet addresses or networks.</w:t>
      </w:r>
    </w:p>
    <w:p>
      <w:pPr>
        <w:keepLines w:val="0"/>
      </w:pPr>
      <w:r>
        <w:rPr>
          <w:rFonts w:ascii="MTN Brighter Sans" w:hAnsi="MTN Brighter Sans" w:eastAsia="MTN Brighter Sans"/>
          <w:b w:val="0"/>
          <w:i w:val="0"/>
          <w:color w:val="1F2937"/>
          <w:sz w:val="22"/>
        </w:rPr>
        <w:t>Past performance or historical value is not an indication of future performance.</w:t>
      </w:r>
    </w:p>
    <w:p>
      <w:pPr>
        <w:pStyle w:val="Heading1"/>
        <w:keepNext/>
      </w:pPr>
      <w:r>
        <w:t>4. Koineckta Is Not a Bank</w:t>
      </w:r>
    </w:p>
    <w:p>
      <w:pPr>
        <w:keepLines w:val="0"/>
      </w:pPr>
      <w:r>
        <w:rPr>
          <w:rFonts w:ascii="MTN Brighter Sans" w:hAnsi="MTN Brighter Sans" w:eastAsia="MTN Brighter Sans"/>
          <w:b w:val="0"/>
          <w:i w:val="0"/>
          <w:color w:val="1F2937"/>
          <w:sz w:val="22"/>
        </w:rPr>
        <w:t>Unless expressly stated otherwise and supported by applicable authorisation, Koineckta is not a deposit-taking bank.</w:t>
      </w:r>
    </w:p>
    <w:p>
      <w:pPr>
        <w:keepLines w:val="0"/>
      </w:pPr>
      <w:r>
        <w:rPr>
          <w:rFonts w:ascii="MTN Brighter Sans" w:hAnsi="MTN Brighter Sans" w:eastAsia="MTN Brighter Sans"/>
          <w:b w:val="0"/>
          <w:i w:val="0"/>
          <w:color w:val="1F2937"/>
          <w:sz w:val="22"/>
        </w:rPr>
        <w:t>Digital-asset balances and other balances maintained through Koineckta should not be assumed to constitute bank deposits or to benefit from deposit insurance.</w:t>
      </w:r>
    </w:p>
    <w:p>
      <w:pPr>
        <w:keepLines w:val="0"/>
      </w:pPr>
      <w:r>
        <w:rPr>
          <w:rFonts w:ascii="MTN Brighter Sans" w:hAnsi="MTN Brighter Sans" w:eastAsia="MTN Brighter Sans"/>
          <w:b w:val="0"/>
          <w:i w:val="0"/>
          <w:color w:val="1F2937"/>
          <w:sz w:val="22"/>
        </w:rPr>
        <w:t>Certain banking, wallet, custody, conversion, payment or settlement functionality may be provided through third-party service providers.</w:t>
      </w:r>
    </w:p>
    <w:p>
      <w:pPr>
        <w:pStyle w:val="Heading1"/>
        <w:keepNext/>
      </w:pPr>
      <w:r>
        <w:t>5. Regulatory Status</w:t>
      </w:r>
    </w:p>
    <w:p>
      <w:pPr>
        <w:keepLines w:val="0"/>
      </w:pPr>
      <w:r>
        <w:rPr>
          <w:rFonts w:ascii="MTN Brighter Sans" w:hAnsi="MTN Brighter Sans" w:eastAsia="MTN Brighter Sans"/>
          <w:b w:val="0"/>
          <w:i w:val="0"/>
          <w:color w:val="1F2937"/>
          <w:sz w:val="22"/>
        </w:rPr>
        <w:t>Digital-asset and financial-services regulation continues to evolve.</w:t>
      </w:r>
    </w:p>
    <w:p>
      <w:pPr>
        <w:keepLines w:val="0"/>
      </w:pPr>
      <w:r>
        <w:rPr>
          <w:rFonts w:ascii="MTN Brighter Sans" w:hAnsi="MTN Brighter Sans" w:eastAsia="MTN Brighter Sans"/>
          <w:b w:val="0"/>
          <w:i w:val="0"/>
          <w:color w:val="1F2937"/>
          <w:sz w:val="22"/>
        </w:rPr>
        <w:t>The availability of a Koineckta service may depend on:</w:t>
      </w:r>
    </w:p>
    <w:p>
      <w:pPr>
        <w:pStyle w:val="ListBullet"/>
        <w:spacing w:after="60"/>
        <w:ind w:left="331" w:hanging="202"/>
      </w:pPr>
      <w:r>
        <w:rPr>
          <w:rFonts w:ascii="MTN Brighter Sans" w:hAnsi="MTN Brighter Sans" w:eastAsia="MTN Brighter Sans"/>
          <w:sz w:val="22"/>
        </w:rPr>
        <w:t>jurisdiction;</w:t>
      </w:r>
    </w:p>
    <w:p>
      <w:pPr>
        <w:pStyle w:val="ListBullet"/>
        <w:spacing w:after="60"/>
        <w:ind w:left="331" w:hanging="202"/>
      </w:pPr>
      <w:r>
        <w:rPr>
          <w:rFonts w:ascii="MTN Brighter Sans" w:hAnsi="MTN Brighter Sans" w:eastAsia="MTN Brighter Sans"/>
          <w:sz w:val="22"/>
        </w:rPr>
        <w:t>regulatory requirements;</w:t>
      </w:r>
    </w:p>
    <w:p>
      <w:pPr>
        <w:pStyle w:val="ListBullet"/>
        <w:spacing w:after="60"/>
        <w:ind w:left="331" w:hanging="202"/>
      </w:pPr>
      <w:r>
        <w:rPr>
          <w:rFonts w:ascii="MTN Brighter Sans" w:hAnsi="MTN Brighter Sans" w:eastAsia="MTN Brighter Sans"/>
          <w:sz w:val="22"/>
        </w:rPr>
        <w:t>account status;</w:t>
      </w:r>
    </w:p>
    <w:p>
      <w:pPr>
        <w:pStyle w:val="ListBullet"/>
        <w:spacing w:after="60"/>
        <w:ind w:left="331" w:hanging="202"/>
      </w:pPr>
      <w:r>
        <w:rPr>
          <w:rFonts w:ascii="MTN Brighter Sans" w:hAnsi="MTN Brighter Sans" w:eastAsia="MTN Brighter Sans"/>
          <w:sz w:val="22"/>
        </w:rPr>
        <w:t>identity verification;</w:t>
      </w:r>
    </w:p>
    <w:p>
      <w:pPr>
        <w:pStyle w:val="ListBullet"/>
        <w:spacing w:after="60"/>
        <w:ind w:left="331" w:hanging="202"/>
      </w:pPr>
      <w:r>
        <w:rPr>
          <w:rFonts w:ascii="MTN Brighter Sans" w:hAnsi="MTN Brighter Sans" w:eastAsia="MTN Brighter Sans"/>
          <w:sz w:val="22"/>
        </w:rPr>
        <w:t>applicable licences or approvals;</w:t>
      </w:r>
    </w:p>
    <w:p>
      <w:pPr>
        <w:pStyle w:val="ListBullet"/>
        <w:spacing w:after="60"/>
        <w:ind w:left="331" w:hanging="202"/>
      </w:pPr>
      <w:r>
        <w:rPr>
          <w:rFonts w:ascii="MTN Brighter Sans" w:hAnsi="MTN Brighter Sans" w:eastAsia="MTN Brighter Sans"/>
          <w:sz w:val="22"/>
        </w:rPr>
        <w:t>third-party provider availability; and</w:t>
      </w:r>
    </w:p>
    <w:p>
      <w:pPr>
        <w:pStyle w:val="ListBullet"/>
        <w:spacing w:after="60"/>
        <w:ind w:left="331" w:hanging="202"/>
      </w:pPr>
      <w:r>
        <w:rPr>
          <w:rFonts w:ascii="MTN Brighter Sans" w:hAnsi="MTN Brighter Sans" w:eastAsia="MTN Brighter Sans"/>
          <w:sz w:val="22"/>
        </w:rPr>
        <w:t>other eligibility requirements.</w:t>
      </w:r>
    </w:p>
    <w:p>
      <w:pPr>
        <w:keepLines w:val="0"/>
      </w:pPr>
      <w:r>
        <w:rPr>
          <w:rFonts w:ascii="MTN Brighter Sans" w:hAnsi="MTN Brighter Sans" w:eastAsia="MTN Brighter Sans"/>
          <w:b w:val="0"/>
          <w:i w:val="0"/>
          <w:color w:val="1F2937"/>
          <w:sz w:val="22"/>
        </w:rPr>
        <w:t>Koineckta does not represent that every service is lawful or available in every jurisdiction.</w:t>
      </w:r>
    </w:p>
    <w:p>
      <w:pPr>
        <w:keepLines w:val="0"/>
      </w:pPr>
      <w:r>
        <w:rPr>
          <w:rFonts w:ascii="MTN Brighter Sans" w:hAnsi="MTN Brighter Sans" w:eastAsia="MTN Brighter Sans"/>
          <w:b w:val="0"/>
          <w:i w:val="0"/>
          <w:color w:val="1F2937"/>
          <w:sz w:val="22"/>
        </w:rPr>
        <w:t>Users are responsible for complying with laws applicable to them.</w:t>
      </w:r>
    </w:p>
    <w:p>
      <w:pPr>
        <w:keepLines w:val="0"/>
      </w:pPr>
      <w:r>
        <w:rPr>
          <w:rFonts w:ascii="MTN Brighter Sans" w:hAnsi="MTN Brighter Sans" w:eastAsia="MTN Brighter Sans"/>
          <w:b w:val="0"/>
          <w:i w:val="0"/>
          <w:color w:val="1F2937"/>
          <w:sz w:val="22"/>
        </w:rPr>
        <w:t>No statement on the Koineckta website should be interpreted as claiming a regulatory licence, approval or authorisation unless that status is expressly identified and verifiable.</w:t>
      </w:r>
    </w:p>
    <w:p>
      <w:pPr>
        <w:pStyle w:val="Heading1"/>
        <w:keepNext/>
      </w:pPr>
      <w:r>
        <w:t>6. Conversion Rates and Quotes</w:t>
      </w:r>
    </w:p>
    <w:p>
      <w:pPr>
        <w:keepLines w:val="0"/>
      </w:pPr>
      <w:r>
        <w:rPr>
          <w:rFonts w:ascii="MTN Brighter Sans" w:hAnsi="MTN Brighter Sans" w:eastAsia="MTN Brighter Sans"/>
          <w:b w:val="0"/>
          <w:i w:val="0"/>
          <w:color w:val="1F2937"/>
          <w:sz w:val="22"/>
        </w:rPr>
        <w:t>Digital-asset and fiat exchange rates can change rapidly.</w:t>
      </w:r>
    </w:p>
    <w:p>
      <w:pPr>
        <w:keepLines w:val="0"/>
      </w:pPr>
      <w:r>
        <w:rPr>
          <w:rFonts w:ascii="MTN Brighter Sans" w:hAnsi="MTN Brighter Sans" w:eastAsia="MTN Brighter Sans"/>
          <w:b w:val="0"/>
          <w:i w:val="0"/>
          <w:color w:val="1F2937"/>
          <w:sz w:val="22"/>
        </w:rPr>
        <w:t>A rate displayed for a transaction may:</w:t>
      </w:r>
    </w:p>
    <w:p>
      <w:pPr>
        <w:pStyle w:val="ListBullet"/>
        <w:spacing w:after="60"/>
        <w:ind w:left="331" w:hanging="202"/>
      </w:pPr>
      <w:r>
        <w:rPr>
          <w:rFonts w:ascii="MTN Brighter Sans" w:hAnsi="MTN Brighter Sans" w:eastAsia="MTN Brighter Sans"/>
          <w:sz w:val="22"/>
        </w:rPr>
        <w:t>be valid only for a specified period;</w:t>
      </w:r>
    </w:p>
    <w:p>
      <w:pPr>
        <w:pStyle w:val="ListBullet"/>
        <w:spacing w:after="60"/>
        <w:ind w:left="331" w:hanging="202"/>
      </w:pPr>
      <w:r>
        <w:rPr>
          <w:rFonts w:ascii="MTN Brighter Sans" w:hAnsi="MTN Brighter Sans" w:eastAsia="MTN Brighter Sans"/>
          <w:sz w:val="22"/>
        </w:rPr>
        <w:t>include applicable spreads or fees;</w:t>
      </w:r>
    </w:p>
    <w:p>
      <w:pPr>
        <w:pStyle w:val="ListBullet"/>
        <w:spacing w:after="60"/>
        <w:ind w:left="331" w:hanging="202"/>
      </w:pPr>
      <w:r>
        <w:rPr>
          <w:rFonts w:ascii="MTN Brighter Sans" w:hAnsi="MTN Brighter Sans" w:eastAsia="MTN Brighter Sans"/>
          <w:sz w:val="22"/>
        </w:rPr>
        <w:t>change when the quote expires; or</w:t>
      </w:r>
    </w:p>
    <w:p>
      <w:pPr>
        <w:pStyle w:val="ListBullet"/>
        <w:spacing w:after="60"/>
        <w:ind w:left="331" w:hanging="202"/>
      </w:pPr>
      <w:r>
        <w:rPr>
          <w:rFonts w:ascii="MTN Brighter Sans" w:hAnsi="MTN Brighter Sans" w:eastAsia="MTN Brighter Sans"/>
          <w:sz w:val="22"/>
        </w:rPr>
        <w:t>differ from rates displayed by other platforms.</w:t>
      </w:r>
    </w:p>
    <w:p>
      <w:pPr>
        <w:keepLines w:val="0"/>
      </w:pPr>
      <w:r>
        <w:rPr>
          <w:rFonts w:ascii="MTN Brighter Sans" w:hAnsi="MTN Brighter Sans" w:eastAsia="MTN Brighter Sans"/>
          <w:b w:val="0"/>
          <w:i w:val="0"/>
          <w:color w:val="1F2937"/>
          <w:sz w:val="22"/>
        </w:rPr>
        <w:t>The rate and fees displayed immediately before confirmation should be reviewed carefully.</w:t>
      </w:r>
    </w:p>
    <w:p>
      <w:pPr>
        <w:keepLines w:val="0"/>
      </w:pPr>
      <w:r>
        <w:rPr>
          <w:rFonts w:ascii="MTN Brighter Sans" w:hAnsi="MTN Brighter Sans" w:eastAsia="MTN Brighter Sans"/>
          <w:b w:val="0"/>
          <w:i w:val="0"/>
          <w:color w:val="1F2937"/>
          <w:sz w:val="22"/>
        </w:rPr>
        <w:t>Koineckta does not guarantee continuation of an expired quote.</w:t>
      </w:r>
    </w:p>
    <w:p>
      <w:pPr>
        <w:pStyle w:val="Heading1"/>
        <w:keepNext/>
      </w:pPr>
      <w:r>
        <w:t>7. Blockchain Transactions</w:t>
      </w:r>
    </w:p>
    <w:p>
      <w:pPr>
        <w:keepLines w:val="0"/>
      </w:pPr>
      <w:r>
        <w:rPr>
          <w:rFonts w:ascii="MTN Brighter Sans" w:hAnsi="MTN Brighter Sans" w:eastAsia="MTN Brighter Sans"/>
          <w:b w:val="0"/>
          <w:i w:val="0"/>
          <w:color w:val="1F2937"/>
          <w:sz w:val="22"/>
        </w:rPr>
        <w:t>Blockchain transactions may become irreversible once broadcast or confirmed.</w:t>
      </w:r>
    </w:p>
    <w:p>
      <w:pPr>
        <w:keepLines w:val="0"/>
      </w:pPr>
      <w:r>
        <w:rPr>
          <w:rFonts w:ascii="MTN Brighter Sans" w:hAnsi="MTN Brighter Sans" w:eastAsia="MTN Brighter Sans"/>
          <w:b w:val="0"/>
          <w:i w:val="0"/>
          <w:color w:val="1F2937"/>
          <w:sz w:val="22"/>
        </w:rPr>
        <w:t>Koineckta cannot guarantee recovery of assets sent:</w:t>
      </w:r>
    </w:p>
    <w:p>
      <w:pPr>
        <w:pStyle w:val="ListBullet"/>
        <w:spacing w:after="60"/>
        <w:ind w:left="331" w:hanging="202"/>
      </w:pPr>
      <w:r>
        <w:rPr>
          <w:rFonts w:ascii="MTN Brighter Sans" w:hAnsi="MTN Brighter Sans" w:eastAsia="MTN Brighter Sans"/>
          <w:sz w:val="22"/>
        </w:rPr>
        <w:t>to an incorrect address;</w:t>
      </w:r>
    </w:p>
    <w:p>
      <w:pPr>
        <w:pStyle w:val="ListBullet"/>
        <w:spacing w:after="60"/>
        <w:ind w:left="331" w:hanging="202"/>
      </w:pPr>
      <w:r>
        <w:rPr>
          <w:rFonts w:ascii="MTN Brighter Sans" w:hAnsi="MTN Brighter Sans" w:eastAsia="MTN Brighter Sans"/>
          <w:sz w:val="22"/>
        </w:rPr>
        <w:t>through an unsupported network;</w:t>
      </w:r>
    </w:p>
    <w:p>
      <w:pPr>
        <w:pStyle w:val="ListBullet"/>
        <w:spacing w:after="60"/>
        <w:ind w:left="331" w:hanging="202"/>
      </w:pPr>
      <w:r>
        <w:rPr>
          <w:rFonts w:ascii="MTN Brighter Sans" w:hAnsi="MTN Brighter Sans" w:eastAsia="MTN Brighter Sans"/>
          <w:sz w:val="22"/>
        </w:rPr>
        <w:t>using an unsupported token;</w:t>
      </w:r>
    </w:p>
    <w:p>
      <w:pPr>
        <w:pStyle w:val="ListBullet"/>
        <w:spacing w:after="60"/>
        <w:ind w:left="331" w:hanging="202"/>
      </w:pPr>
      <w:r>
        <w:rPr>
          <w:rFonts w:ascii="MTN Brighter Sans" w:hAnsi="MTN Brighter Sans" w:eastAsia="MTN Brighter Sans"/>
          <w:sz w:val="22"/>
        </w:rPr>
        <w:t>to an incompatible wallet; or</w:t>
      </w:r>
    </w:p>
    <w:p>
      <w:pPr>
        <w:pStyle w:val="ListBullet"/>
        <w:spacing w:after="60"/>
        <w:ind w:left="331" w:hanging="202"/>
      </w:pPr>
      <w:r>
        <w:rPr>
          <w:rFonts w:ascii="MTN Brighter Sans" w:hAnsi="MTN Brighter Sans" w:eastAsia="MTN Brighter Sans"/>
          <w:sz w:val="22"/>
        </w:rPr>
        <w:t>contrary to transaction instructions.</w:t>
      </w:r>
    </w:p>
    <w:p>
      <w:pPr>
        <w:keepLines w:val="0"/>
      </w:pPr>
      <w:r>
        <w:rPr>
          <w:rFonts w:ascii="MTN Brighter Sans" w:hAnsi="MTN Brighter Sans" w:eastAsia="MTN Brighter Sans"/>
          <w:b w:val="0"/>
          <w:i w:val="0"/>
          <w:color w:val="1F2937"/>
          <w:sz w:val="22"/>
        </w:rPr>
        <w:t>Users are responsible for verifying transaction details before confirmation.</w:t>
      </w:r>
    </w:p>
    <w:p>
      <w:pPr>
        <w:pStyle w:val="Heading1"/>
        <w:keepNext/>
      </w:pPr>
      <w:r>
        <w:t>8. Settlement Times</w:t>
      </w:r>
    </w:p>
    <w:p>
      <w:pPr>
        <w:keepLines w:val="0"/>
      </w:pPr>
      <w:r>
        <w:rPr>
          <w:rFonts w:ascii="MTN Brighter Sans" w:hAnsi="MTN Brighter Sans" w:eastAsia="MTN Brighter Sans"/>
          <w:b w:val="0"/>
          <w:i w:val="0"/>
          <w:color w:val="1F2937"/>
          <w:sz w:val="22"/>
        </w:rPr>
        <w:t>References to “instant,” “real-time,” “same-day” or other settlement descriptions should be understood subject to applicable technical and operational conditions.</w:t>
      </w:r>
    </w:p>
    <w:p>
      <w:pPr>
        <w:keepLines w:val="0"/>
      </w:pPr>
      <w:r>
        <w:rPr>
          <w:rFonts w:ascii="MTN Brighter Sans" w:hAnsi="MTN Brighter Sans" w:eastAsia="MTN Brighter Sans"/>
          <w:b w:val="0"/>
          <w:i w:val="0"/>
          <w:color w:val="1F2937"/>
          <w:sz w:val="22"/>
        </w:rPr>
        <w:t>Actual processing time may depend on:</w:t>
      </w:r>
    </w:p>
    <w:p>
      <w:pPr>
        <w:pStyle w:val="ListBullet"/>
        <w:spacing w:after="60"/>
        <w:ind w:left="331" w:hanging="202"/>
      </w:pPr>
      <w:r>
        <w:rPr>
          <w:rFonts w:ascii="MTN Brighter Sans" w:hAnsi="MTN Brighter Sans" w:eastAsia="MTN Brighter Sans"/>
          <w:sz w:val="22"/>
        </w:rPr>
        <w:t>blockchain confirmation;</w:t>
      </w:r>
    </w:p>
    <w:p>
      <w:pPr>
        <w:pStyle w:val="ListBullet"/>
        <w:spacing w:after="60"/>
        <w:ind w:left="331" w:hanging="202"/>
      </w:pPr>
      <w:r>
        <w:rPr>
          <w:rFonts w:ascii="MTN Brighter Sans" w:hAnsi="MTN Brighter Sans" w:eastAsia="MTN Brighter Sans"/>
          <w:sz w:val="22"/>
        </w:rPr>
        <w:t>banking networks;</w:t>
      </w:r>
    </w:p>
    <w:p>
      <w:pPr>
        <w:pStyle w:val="ListBullet"/>
        <w:spacing w:after="60"/>
        <w:ind w:left="331" w:hanging="202"/>
      </w:pPr>
      <w:r>
        <w:rPr>
          <w:rFonts w:ascii="MTN Brighter Sans" w:hAnsi="MTN Brighter Sans" w:eastAsia="MTN Brighter Sans"/>
          <w:sz w:val="22"/>
        </w:rPr>
        <w:t>mobile-money operators;</w:t>
      </w:r>
    </w:p>
    <w:p>
      <w:pPr>
        <w:pStyle w:val="ListBullet"/>
        <w:spacing w:after="60"/>
        <w:ind w:left="331" w:hanging="202"/>
      </w:pPr>
      <w:r>
        <w:rPr>
          <w:rFonts w:ascii="MTN Brighter Sans" w:hAnsi="MTN Brighter Sans" w:eastAsia="MTN Brighter Sans"/>
          <w:sz w:val="22"/>
        </w:rPr>
        <w:t>liquidity providers;</w:t>
      </w:r>
    </w:p>
    <w:p>
      <w:pPr>
        <w:pStyle w:val="ListBullet"/>
        <w:spacing w:after="60"/>
        <w:ind w:left="331" w:hanging="202"/>
      </w:pPr>
      <w:r>
        <w:rPr>
          <w:rFonts w:ascii="MTN Brighter Sans" w:hAnsi="MTN Brighter Sans" w:eastAsia="MTN Brighter Sans"/>
          <w:sz w:val="22"/>
        </w:rPr>
        <w:t>compliance screening;</w:t>
      </w:r>
    </w:p>
    <w:p>
      <w:pPr>
        <w:pStyle w:val="ListBullet"/>
        <w:spacing w:after="60"/>
        <w:ind w:left="331" w:hanging="202"/>
      </w:pPr>
      <w:r>
        <w:rPr>
          <w:rFonts w:ascii="MTN Brighter Sans" w:hAnsi="MTN Brighter Sans" w:eastAsia="MTN Brighter Sans"/>
          <w:sz w:val="22"/>
        </w:rPr>
        <w:t>system availability;</w:t>
      </w:r>
    </w:p>
    <w:p>
      <w:pPr>
        <w:pStyle w:val="ListBullet"/>
        <w:spacing w:after="60"/>
        <w:ind w:left="331" w:hanging="202"/>
      </w:pPr>
      <w:r>
        <w:rPr>
          <w:rFonts w:ascii="MTN Brighter Sans" w:hAnsi="MTN Brighter Sans" w:eastAsia="MTN Brighter Sans"/>
          <w:sz w:val="22"/>
        </w:rPr>
        <w:t>beneficiary information; and</w:t>
      </w:r>
    </w:p>
    <w:p>
      <w:pPr>
        <w:pStyle w:val="ListBullet"/>
        <w:spacing w:after="60"/>
        <w:ind w:left="331" w:hanging="202"/>
      </w:pPr>
      <w:r>
        <w:rPr>
          <w:rFonts w:ascii="MTN Brighter Sans" w:hAnsi="MTN Brighter Sans" w:eastAsia="MTN Brighter Sans"/>
          <w:sz w:val="22"/>
        </w:rPr>
        <w:t>other third-party infrastructure.</w:t>
      </w:r>
    </w:p>
    <w:p>
      <w:pPr>
        <w:keepLines w:val="0"/>
      </w:pPr>
      <w:r>
        <w:rPr>
          <w:rFonts w:ascii="MTN Brighter Sans" w:hAnsi="MTN Brighter Sans" w:eastAsia="MTN Brighter Sans"/>
          <w:b w:val="0"/>
          <w:i w:val="0"/>
          <w:color w:val="1F2937"/>
          <w:sz w:val="22"/>
        </w:rPr>
        <w:t>Estimated settlement times are not guarantees unless expressly stated.</w:t>
      </w:r>
    </w:p>
    <w:p>
      <w:pPr>
        <w:pStyle w:val="Heading1"/>
        <w:keepNext/>
      </w:pPr>
      <w:r>
        <w:t>9. Third-Party Services</w:t>
      </w:r>
    </w:p>
    <w:p>
      <w:pPr>
        <w:keepLines w:val="0"/>
      </w:pPr>
      <w:r>
        <w:rPr>
          <w:rFonts w:ascii="MTN Brighter Sans" w:hAnsi="MTN Brighter Sans" w:eastAsia="MTN Brighter Sans"/>
          <w:b w:val="0"/>
          <w:i w:val="0"/>
          <w:color w:val="1F2937"/>
          <w:sz w:val="22"/>
        </w:rPr>
        <w:t>Koineckta may integrate or depend upon third-party:</w:t>
      </w:r>
    </w:p>
    <w:p>
      <w:pPr>
        <w:pStyle w:val="ListBullet"/>
        <w:spacing w:after="60"/>
        <w:ind w:left="331" w:hanging="202"/>
      </w:pPr>
      <w:r>
        <w:rPr>
          <w:rFonts w:ascii="MTN Brighter Sans" w:hAnsi="MTN Brighter Sans" w:eastAsia="MTN Brighter Sans"/>
          <w:sz w:val="22"/>
        </w:rPr>
        <w:t>banks;</w:t>
      </w:r>
    </w:p>
    <w:p>
      <w:pPr>
        <w:pStyle w:val="ListBullet"/>
        <w:spacing w:after="60"/>
        <w:ind w:left="331" w:hanging="202"/>
      </w:pPr>
      <w:r>
        <w:rPr>
          <w:rFonts w:ascii="MTN Brighter Sans" w:hAnsi="MTN Brighter Sans" w:eastAsia="MTN Brighter Sans"/>
          <w:sz w:val="22"/>
        </w:rPr>
        <w:t>payment processors;</w:t>
      </w:r>
    </w:p>
    <w:p>
      <w:pPr>
        <w:pStyle w:val="ListBullet"/>
        <w:spacing w:after="60"/>
        <w:ind w:left="331" w:hanging="202"/>
      </w:pPr>
      <w:r>
        <w:rPr>
          <w:rFonts w:ascii="MTN Brighter Sans" w:hAnsi="MTN Brighter Sans" w:eastAsia="MTN Brighter Sans"/>
          <w:sz w:val="22"/>
        </w:rPr>
        <w:t>mobile-money operators;</w:t>
      </w:r>
    </w:p>
    <w:p>
      <w:pPr>
        <w:pStyle w:val="ListBullet"/>
        <w:spacing w:after="60"/>
        <w:ind w:left="331" w:hanging="202"/>
      </w:pPr>
      <w:r>
        <w:rPr>
          <w:rFonts w:ascii="MTN Brighter Sans" w:hAnsi="MTN Brighter Sans" w:eastAsia="MTN Brighter Sans"/>
          <w:sz w:val="22"/>
        </w:rPr>
        <w:t>wallet infrastructure providers;</w:t>
      </w:r>
    </w:p>
    <w:p>
      <w:pPr>
        <w:pStyle w:val="ListBullet"/>
        <w:spacing w:after="60"/>
        <w:ind w:left="331" w:hanging="202"/>
      </w:pPr>
      <w:r>
        <w:rPr>
          <w:rFonts w:ascii="MTN Brighter Sans" w:hAnsi="MTN Brighter Sans" w:eastAsia="MTN Brighter Sans"/>
          <w:sz w:val="22"/>
        </w:rPr>
        <w:t>custodians;</w:t>
      </w:r>
    </w:p>
    <w:p>
      <w:pPr>
        <w:pStyle w:val="ListBullet"/>
        <w:spacing w:after="60"/>
        <w:ind w:left="331" w:hanging="202"/>
      </w:pPr>
      <w:r>
        <w:rPr>
          <w:rFonts w:ascii="MTN Brighter Sans" w:hAnsi="MTN Brighter Sans" w:eastAsia="MTN Brighter Sans"/>
          <w:sz w:val="22"/>
        </w:rPr>
        <w:t>liquidity providers;</w:t>
      </w:r>
    </w:p>
    <w:p>
      <w:pPr>
        <w:pStyle w:val="ListBullet"/>
        <w:spacing w:after="60"/>
        <w:ind w:left="331" w:hanging="202"/>
      </w:pPr>
      <w:r>
        <w:rPr>
          <w:rFonts w:ascii="MTN Brighter Sans" w:hAnsi="MTN Brighter Sans" w:eastAsia="MTN Brighter Sans"/>
          <w:sz w:val="22"/>
        </w:rPr>
        <w:t>digital-asset service providers;</w:t>
      </w:r>
    </w:p>
    <w:p>
      <w:pPr>
        <w:pStyle w:val="ListBullet"/>
        <w:spacing w:after="60"/>
        <w:ind w:left="331" w:hanging="202"/>
      </w:pPr>
      <w:r>
        <w:rPr>
          <w:rFonts w:ascii="MTN Brighter Sans" w:hAnsi="MTN Brighter Sans" w:eastAsia="MTN Brighter Sans"/>
          <w:sz w:val="22"/>
        </w:rPr>
        <w:t>blockchain networks;</w:t>
      </w:r>
    </w:p>
    <w:p>
      <w:pPr>
        <w:pStyle w:val="ListBullet"/>
        <w:spacing w:after="60"/>
        <w:ind w:left="331" w:hanging="202"/>
      </w:pPr>
      <w:r>
        <w:rPr>
          <w:rFonts w:ascii="MTN Brighter Sans" w:hAnsi="MTN Brighter Sans" w:eastAsia="MTN Brighter Sans"/>
          <w:sz w:val="22"/>
        </w:rPr>
        <w:t>identity-verification services; and</w:t>
      </w:r>
    </w:p>
    <w:p>
      <w:pPr>
        <w:pStyle w:val="ListBullet"/>
        <w:spacing w:after="60"/>
        <w:ind w:left="331" w:hanging="202"/>
      </w:pPr>
      <w:r>
        <w:rPr>
          <w:rFonts w:ascii="MTN Brighter Sans" w:hAnsi="MTN Brighter Sans" w:eastAsia="MTN Brighter Sans"/>
          <w:sz w:val="22"/>
        </w:rPr>
        <w:t>technology providers.</w:t>
      </w:r>
    </w:p>
    <w:p>
      <w:pPr>
        <w:keepLines w:val="0"/>
      </w:pPr>
      <w:r>
        <w:rPr>
          <w:rFonts w:ascii="MTN Brighter Sans" w:hAnsi="MTN Brighter Sans" w:eastAsia="MTN Brighter Sans"/>
          <w:b w:val="0"/>
          <w:i w:val="0"/>
          <w:color w:val="1F2937"/>
          <w:sz w:val="22"/>
        </w:rPr>
        <w:t>Koineckta does not control every third-party system and cannot guarantee continuous availability or performance of independent third parties.</w:t>
      </w:r>
    </w:p>
    <w:p>
      <w:pPr>
        <w:keepLines w:val="0"/>
      </w:pPr>
      <w:r>
        <w:rPr>
          <w:rFonts w:ascii="MTN Brighter Sans" w:hAnsi="MTN Brighter Sans" w:eastAsia="MTN Brighter Sans"/>
          <w:b w:val="0"/>
          <w:i w:val="0"/>
          <w:color w:val="1F2937"/>
          <w:sz w:val="22"/>
        </w:rPr>
        <w:t>Applicable third-party terms may also govern aspects of a transaction.</w:t>
      </w:r>
    </w:p>
    <w:p>
      <w:pPr>
        <w:pStyle w:val="Heading1"/>
        <w:keepNext/>
      </w:pPr>
      <w:r>
        <w:t>10. Merchant Transactions</w:t>
      </w:r>
    </w:p>
    <w:p>
      <w:pPr>
        <w:keepLines w:val="0"/>
      </w:pPr>
      <w:r>
        <w:rPr>
          <w:rFonts w:ascii="MTN Brighter Sans" w:hAnsi="MTN Brighter Sans" w:eastAsia="MTN Brighter Sans"/>
          <w:b w:val="0"/>
          <w:i w:val="0"/>
          <w:color w:val="1F2937"/>
          <w:sz w:val="22"/>
        </w:rPr>
        <w:t>Where Koineckta facilitates payment to a third-party merchant, Koineckta is ordinarily the payment technology provider and not the seller of the underlying goods or services.</w:t>
      </w:r>
    </w:p>
    <w:p>
      <w:pPr>
        <w:keepLines w:val="0"/>
      </w:pPr>
      <w:r>
        <w:rPr>
          <w:rFonts w:ascii="MTN Brighter Sans" w:hAnsi="MTN Brighter Sans" w:eastAsia="MTN Brighter Sans"/>
          <w:b w:val="0"/>
          <w:i w:val="0"/>
          <w:color w:val="1F2937"/>
          <w:sz w:val="22"/>
        </w:rPr>
        <w:t>Unless applicable law provides otherwise, disputes relating to:</w:t>
      </w:r>
    </w:p>
    <w:p>
      <w:pPr>
        <w:pStyle w:val="ListBullet"/>
        <w:spacing w:after="60"/>
        <w:ind w:left="331" w:hanging="202"/>
      </w:pPr>
      <w:r>
        <w:rPr>
          <w:rFonts w:ascii="MTN Brighter Sans" w:hAnsi="MTN Brighter Sans" w:eastAsia="MTN Brighter Sans"/>
          <w:sz w:val="22"/>
        </w:rPr>
        <w:t>product quality;</w:t>
      </w:r>
    </w:p>
    <w:p>
      <w:pPr>
        <w:pStyle w:val="ListBullet"/>
        <w:spacing w:after="60"/>
        <w:ind w:left="331" w:hanging="202"/>
      </w:pPr>
      <w:r>
        <w:rPr>
          <w:rFonts w:ascii="MTN Brighter Sans" w:hAnsi="MTN Brighter Sans" w:eastAsia="MTN Brighter Sans"/>
          <w:sz w:val="22"/>
        </w:rPr>
        <w:t>delivery;</w:t>
      </w:r>
    </w:p>
    <w:p>
      <w:pPr>
        <w:pStyle w:val="ListBullet"/>
        <w:spacing w:after="60"/>
        <w:ind w:left="331" w:hanging="202"/>
      </w:pPr>
      <w:r>
        <w:rPr>
          <w:rFonts w:ascii="MTN Brighter Sans" w:hAnsi="MTN Brighter Sans" w:eastAsia="MTN Brighter Sans"/>
          <w:sz w:val="22"/>
        </w:rPr>
        <w:t>warranties;</w:t>
      </w:r>
    </w:p>
    <w:p>
      <w:pPr>
        <w:pStyle w:val="ListBullet"/>
        <w:spacing w:after="60"/>
        <w:ind w:left="331" w:hanging="202"/>
      </w:pPr>
      <w:r>
        <w:rPr>
          <w:rFonts w:ascii="MTN Brighter Sans" w:hAnsi="MTN Brighter Sans" w:eastAsia="MTN Brighter Sans"/>
          <w:sz w:val="22"/>
        </w:rPr>
        <w:t>merchant representations;</w:t>
      </w:r>
    </w:p>
    <w:p>
      <w:pPr>
        <w:pStyle w:val="ListBullet"/>
        <w:spacing w:after="60"/>
        <w:ind w:left="331" w:hanging="202"/>
      </w:pPr>
      <w:r>
        <w:rPr>
          <w:rFonts w:ascii="MTN Brighter Sans" w:hAnsi="MTN Brighter Sans" w:eastAsia="MTN Brighter Sans"/>
          <w:sz w:val="22"/>
        </w:rPr>
        <w:t>cancellations; or</w:t>
      </w:r>
    </w:p>
    <w:p>
      <w:pPr>
        <w:pStyle w:val="ListBullet"/>
        <w:spacing w:after="60"/>
        <w:ind w:left="331" w:hanging="202"/>
      </w:pPr>
      <w:r>
        <w:rPr>
          <w:rFonts w:ascii="MTN Brighter Sans" w:hAnsi="MTN Brighter Sans" w:eastAsia="MTN Brighter Sans"/>
          <w:sz w:val="22"/>
        </w:rPr>
        <w:t>merchant refunds.</w:t>
      </w:r>
    </w:p>
    <w:p>
      <w:pPr>
        <w:keepLines w:val="0"/>
      </w:pPr>
      <w:r>
        <w:rPr>
          <w:rFonts w:ascii="MTN Brighter Sans" w:hAnsi="MTN Brighter Sans" w:eastAsia="MTN Brighter Sans"/>
          <w:b w:val="0"/>
          <w:i w:val="0"/>
          <w:color w:val="1F2937"/>
          <w:sz w:val="22"/>
        </w:rPr>
        <w:t>Such disputes should first be addressed with the relevant merchant. Nothing in this section restricts statutory consumer rights.</w:t>
      </w:r>
    </w:p>
    <w:p>
      <w:pPr>
        <w:pStyle w:val="Heading1"/>
        <w:keepNext/>
      </w:pPr>
      <w:r>
        <w:t>11. Availability of Services</w:t>
      </w:r>
    </w:p>
    <w:p>
      <w:pPr>
        <w:keepLines w:val="0"/>
      </w:pPr>
      <w:r>
        <w:rPr>
          <w:rFonts w:ascii="MTN Brighter Sans" w:hAnsi="MTN Brighter Sans" w:eastAsia="MTN Brighter Sans"/>
          <w:b w:val="0"/>
          <w:i w:val="0"/>
          <w:color w:val="1F2937"/>
          <w:sz w:val="22"/>
        </w:rPr>
        <w:t>Koineckta does not guarantee that every:</w:t>
      </w:r>
    </w:p>
    <w:p>
      <w:pPr>
        <w:pStyle w:val="ListBullet"/>
        <w:spacing w:after="60"/>
        <w:ind w:left="331" w:hanging="202"/>
      </w:pPr>
      <w:r>
        <w:rPr>
          <w:rFonts w:ascii="MTN Brighter Sans" w:hAnsi="MTN Brighter Sans" w:eastAsia="MTN Brighter Sans"/>
          <w:sz w:val="22"/>
        </w:rPr>
        <w:t>feature;</w:t>
      </w:r>
    </w:p>
    <w:p>
      <w:pPr>
        <w:pStyle w:val="ListBullet"/>
        <w:spacing w:after="60"/>
        <w:ind w:left="331" w:hanging="202"/>
      </w:pPr>
      <w:r>
        <w:rPr>
          <w:rFonts w:ascii="MTN Brighter Sans" w:hAnsi="MTN Brighter Sans" w:eastAsia="MTN Brighter Sans"/>
          <w:sz w:val="22"/>
        </w:rPr>
        <w:t>asset;</w:t>
      </w:r>
    </w:p>
    <w:p>
      <w:pPr>
        <w:pStyle w:val="ListBullet"/>
        <w:spacing w:after="60"/>
        <w:ind w:left="331" w:hanging="202"/>
      </w:pPr>
      <w:r>
        <w:rPr>
          <w:rFonts w:ascii="MTN Brighter Sans" w:hAnsi="MTN Brighter Sans" w:eastAsia="MTN Brighter Sans"/>
          <w:sz w:val="22"/>
        </w:rPr>
        <w:t>network;</w:t>
      </w:r>
    </w:p>
    <w:p>
      <w:pPr>
        <w:pStyle w:val="ListBullet"/>
        <w:spacing w:after="60"/>
        <w:ind w:left="331" w:hanging="202"/>
      </w:pPr>
      <w:r>
        <w:rPr>
          <w:rFonts w:ascii="MTN Brighter Sans" w:hAnsi="MTN Brighter Sans" w:eastAsia="MTN Brighter Sans"/>
          <w:sz w:val="22"/>
        </w:rPr>
        <w:t>bank;</w:t>
      </w:r>
    </w:p>
    <w:p>
      <w:pPr>
        <w:pStyle w:val="ListBullet"/>
        <w:spacing w:after="60"/>
        <w:ind w:left="331" w:hanging="202"/>
      </w:pPr>
      <w:r>
        <w:rPr>
          <w:rFonts w:ascii="MTN Brighter Sans" w:hAnsi="MTN Brighter Sans" w:eastAsia="MTN Brighter Sans"/>
          <w:sz w:val="22"/>
        </w:rPr>
        <w:t>mobile-money channel;</w:t>
      </w:r>
    </w:p>
    <w:p>
      <w:pPr>
        <w:pStyle w:val="ListBullet"/>
        <w:spacing w:after="60"/>
        <w:ind w:left="331" w:hanging="202"/>
      </w:pPr>
      <w:r>
        <w:rPr>
          <w:rFonts w:ascii="MTN Brighter Sans" w:hAnsi="MTN Brighter Sans" w:eastAsia="MTN Brighter Sans"/>
          <w:sz w:val="22"/>
        </w:rPr>
        <w:t>merchant service; or</w:t>
      </w:r>
    </w:p>
    <w:p>
      <w:pPr>
        <w:pStyle w:val="ListBullet"/>
        <w:spacing w:after="60"/>
        <w:ind w:left="331" w:hanging="202"/>
      </w:pPr>
      <w:r>
        <w:rPr>
          <w:rFonts w:ascii="MTN Brighter Sans" w:hAnsi="MTN Brighter Sans" w:eastAsia="MTN Brighter Sans"/>
          <w:sz w:val="22"/>
        </w:rPr>
        <w:t>API will be available continuously or permanently.</w:t>
      </w:r>
    </w:p>
    <w:p>
      <w:pPr>
        <w:keepLines w:val="0"/>
      </w:pPr>
      <w:r>
        <w:rPr>
          <w:rFonts w:ascii="MTN Brighter Sans" w:hAnsi="MTN Brighter Sans" w:eastAsia="MTN Brighter Sans"/>
          <w:b w:val="0"/>
          <w:i w:val="0"/>
          <w:color w:val="1F2937"/>
          <w:sz w:val="22"/>
        </w:rPr>
        <w:t>Features may be added, restricted, suspended or discontinued where reasonably required by regulation, security, maintenance, provider availability, risk considerations or product changes.</w:t>
      </w:r>
    </w:p>
    <w:p>
      <w:pPr>
        <w:pStyle w:val="Heading1"/>
        <w:keepNext/>
      </w:pPr>
      <w:r>
        <w:t>12. Security</w:t>
      </w:r>
    </w:p>
    <w:p>
      <w:pPr>
        <w:keepLines w:val="0"/>
      </w:pPr>
      <w:r>
        <w:rPr>
          <w:rFonts w:ascii="MTN Brighter Sans" w:hAnsi="MTN Brighter Sans" w:eastAsia="MTN Brighter Sans"/>
          <w:b w:val="0"/>
          <w:i w:val="0"/>
          <w:color w:val="1F2937"/>
          <w:sz w:val="22"/>
        </w:rPr>
        <w:t>Koineckta uses security measures designed to protect its Services, but no internet, blockchain or electronic system can be guaranteed to be entirely free from risk.</w:t>
      </w:r>
    </w:p>
    <w:p>
      <w:pPr>
        <w:keepLines w:val="0"/>
      </w:pPr>
      <w:r>
        <w:rPr>
          <w:rFonts w:ascii="MTN Brighter Sans" w:hAnsi="MTN Brighter Sans" w:eastAsia="MTN Brighter Sans"/>
          <w:b w:val="0"/>
          <w:i w:val="0"/>
          <w:color w:val="1F2937"/>
          <w:sz w:val="22"/>
        </w:rPr>
        <w:t>Users remain responsible for securing:</w:t>
      </w:r>
    </w:p>
    <w:p>
      <w:pPr>
        <w:pStyle w:val="ListBullet"/>
        <w:spacing w:after="60"/>
        <w:ind w:left="331" w:hanging="202"/>
      </w:pPr>
      <w:r>
        <w:rPr>
          <w:rFonts w:ascii="MTN Brighter Sans" w:hAnsi="MTN Brighter Sans" w:eastAsia="MTN Brighter Sans"/>
          <w:sz w:val="22"/>
        </w:rPr>
        <w:t>passwords;</w:t>
      </w:r>
    </w:p>
    <w:p>
      <w:pPr>
        <w:pStyle w:val="ListBullet"/>
        <w:spacing w:after="60"/>
        <w:ind w:left="331" w:hanging="202"/>
      </w:pPr>
      <w:r>
        <w:rPr>
          <w:rFonts w:ascii="MTN Brighter Sans" w:hAnsi="MTN Brighter Sans" w:eastAsia="MTN Brighter Sans"/>
          <w:sz w:val="22"/>
        </w:rPr>
        <w:t>authentication credentials;</w:t>
      </w:r>
    </w:p>
    <w:p>
      <w:pPr>
        <w:pStyle w:val="ListBullet"/>
        <w:spacing w:after="60"/>
        <w:ind w:left="331" w:hanging="202"/>
      </w:pPr>
      <w:r>
        <w:rPr>
          <w:rFonts w:ascii="MTN Brighter Sans" w:hAnsi="MTN Brighter Sans" w:eastAsia="MTN Brighter Sans"/>
          <w:sz w:val="22"/>
        </w:rPr>
        <w:t>registered devices;</w:t>
      </w:r>
    </w:p>
    <w:p>
      <w:pPr>
        <w:pStyle w:val="ListBullet"/>
        <w:spacing w:after="60"/>
        <w:ind w:left="331" w:hanging="202"/>
      </w:pPr>
      <w:r>
        <w:rPr>
          <w:rFonts w:ascii="MTN Brighter Sans" w:hAnsi="MTN Brighter Sans" w:eastAsia="MTN Brighter Sans"/>
          <w:sz w:val="22"/>
        </w:rPr>
        <w:t>external wallets;</w:t>
      </w:r>
    </w:p>
    <w:p>
      <w:pPr>
        <w:pStyle w:val="ListBullet"/>
        <w:spacing w:after="60"/>
        <w:ind w:left="331" w:hanging="202"/>
      </w:pPr>
      <w:r>
        <w:rPr>
          <w:rFonts w:ascii="MTN Brighter Sans" w:hAnsi="MTN Brighter Sans" w:eastAsia="MTN Brighter Sans"/>
          <w:sz w:val="22"/>
        </w:rPr>
        <w:t>recovery information; and</w:t>
      </w:r>
    </w:p>
    <w:p>
      <w:pPr>
        <w:pStyle w:val="ListBullet"/>
        <w:spacing w:after="60"/>
        <w:ind w:left="331" w:hanging="202"/>
      </w:pPr>
      <w:r>
        <w:rPr>
          <w:rFonts w:ascii="MTN Brighter Sans" w:hAnsi="MTN Brighter Sans" w:eastAsia="MTN Brighter Sans"/>
          <w:sz w:val="22"/>
        </w:rPr>
        <w:t>personal access channels.</w:t>
      </w:r>
    </w:p>
    <w:p>
      <w:pPr>
        <w:keepLines w:val="0"/>
      </w:pPr>
      <w:r>
        <w:rPr>
          <w:rFonts w:ascii="MTN Brighter Sans" w:hAnsi="MTN Brighter Sans" w:eastAsia="MTN Brighter Sans"/>
          <w:b w:val="0"/>
          <w:i w:val="0"/>
          <w:color w:val="1F2937"/>
          <w:sz w:val="22"/>
        </w:rPr>
        <w:t>Never disclose your password, PIN, one-time password or private keys to anyone claiming to represent Koineckta.</w:t>
      </w:r>
    </w:p>
    <w:p>
      <w:pPr>
        <w:pStyle w:val="Heading1"/>
        <w:keepNext/>
      </w:pPr>
      <w:r>
        <w:t>13. External Links</w:t>
      </w:r>
    </w:p>
    <w:p>
      <w:pPr>
        <w:keepLines w:val="0"/>
      </w:pPr>
      <w:r>
        <w:rPr>
          <w:rFonts w:ascii="MTN Brighter Sans" w:hAnsi="MTN Brighter Sans" w:eastAsia="MTN Brighter Sans"/>
          <w:b w:val="0"/>
          <w:i w:val="0"/>
          <w:color w:val="1F2937"/>
          <w:sz w:val="22"/>
        </w:rPr>
        <w:t>Koineckta websites may contain links to third-party websites.</w:t>
      </w:r>
    </w:p>
    <w:p>
      <w:pPr>
        <w:keepLines w:val="0"/>
      </w:pPr>
      <w:r>
        <w:rPr>
          <w:rFonts w:ascii="MTN Brighter Sans" w:hAnsi="MTN Brighter Sans" w:eastAsia="MTN Brighter Sans"/>
          <w:b w:val="0"/>
          <w:i w:val="0"/>
          <w:color w:val="1F2937"/>
          <w:sz w:val="22"/>
        </w:rPr>
        <w:t>A link does not necessarily constitute endorsement.</w:t>
      </w:r>
    </w:p>
    <w:p>
      <w:pPr>
        <w:keepLines w:val="0"/>
      </w:pPr>
      <w:r>
        <w:rPr>
          <w:rFonts w:ascii="MTN Brighter Sans" w:hAnsi="MTN Brighter Sans" w:eastAsia="MTN Brighter Sans"/>
          <w:b w:val="0"/>
          <w:i w:val="0"/>
          <w:color w:val="1F2937"/>
          <w:sz w:val="22"/>
        </w:rPr>
        <w:t>Koineckta is not responsible for independent third-party content, security, availability or privacy practices.</w:t>
      </w:r>
    </w:p>
    <w:p>
      <w:pPr>
        <w:pStyle w:val="Heading1"/>
        <w:keepNext/>
      </w:pPr>
      <w:r>
        <w:t>14. Tax and Legal Responsibility</w:t>
      </w:r>
    </w:p>
    <w:p>
      <w:pPr>
        <w:keepLines w:val="0"/>
      </w:pPr>
      <w:r>
        <w:rPr>
          <w:rFonts w:ascii="MTN Brighter Sans" w:hAnsi="MTN Brighter Sans" w:eastAsia="MTN Brighter Sans"/>
          <w:b w:val="0"/>
          <w:i w:val="0"/>
          <w:color w:val="1F2937"/>
          <w:sz w:val="22"/>
        </w:rPr>
        <w:t>Digital-asset transactions may have tax, reporting or legal consequences.</w:t>
      </w:r>
    </w:p>
    <w:p>
      <w:pPr>
        <w:keepLines w:val="0"/>
      </w:pPr>
      <w:r>
        <w:rPr>
          <w:rFonts w:ascii="MTN Brighter Sans" w:hAnsi="MTN Brighter Sans" w:eastAsia="MTN Brighter Sans"/>
          <w:b w:val="0"/>
          <w:i w:val="0"/>
          <w:color w:val="1F2937"/>
          <w:sz w:val="22"/>
        </w:rPr>
        <w:t>Koineckta does not provide tax or legal advice.</w:t>
      </w:r>
    </w:p>
    <w:p>
      <w:pPr>
        <w:keepLines w:val="0"/>
      </w:pPr>
      <w:r>
        <w:rPr>
          <w:rFonts w:ascii="MTN Brighter Sans" w:hAnsi="MTN Brighter Sans" w:eastAsia="MTN Brighter Sans"/>
          <w:b w:val="0"/>
          <w:i w:val="0"/>
          <w:color w:val="1F2937"/>
          <w:sz w:val="22"/>
        </w:rPr>
        <w:t>Users should obtain independent advice regarding their individual circumstances.</w:t>
      </w:r>
    </w:p>
    <w:p>
      <w:pPr>
        <w:pStyle w:val="Heading1"/>
        <w:keepNext/>
      </w:pPr>
      <w:r>
        <w:t>15. Limitation</w:t>
      </w:r>
    </w:p>
    <w:p>
      <w:pPr>
        <w:keepLines w:val="0"/>
      </w:pPr>
      <w:r>
        <w:rPr>
          <w:rFonts w:ascii="MTN Brighter Sans" w:hAnsi="MTN Brighter Sans" w:eastAsia="MTN Brighter Sans"/>
          <w:b w:val="0"/>
          <w:i w:val="0"/>
          <w:color w:val="1F2937"/>
          <w:sz w:val="22"/>
        </w:rPr>
        <w:t>To the maximum extent permitted by applicable law, Koineckta will not be liable for loss arising solely from:</w:t>
      </w:r>
    </w:p>
    <w:p>
      <w:pPr>
        <w:pStyle w:val="ListBullet"/>
        <w:spacing w:after="60"/>
        <w:ind w:left="331" w:hanging="202"/>
      </w:pPr>
      <w:r>
        <w:rPr>
          <w:rFonts w:ascii="MTN Brighter Sans" w:hAnsi="MTN Brighter Sans" w:eastAsia="MTN Brighter Sans"/>
          <w:sz w:val="22"/>
        </w:rPr>
        <w:t>market movements;</w:t>
      </w:r>
    </w:p>
    <w:p>
      <w:pPr>
        <w:pStyle w:val="ListBullet"/>
        <w:spacing w:after="60"/>
        <w:ind w:left="331" w:hanging="202"/>
      </w:pPr>
      <w:r>
        <w:rPr>
          <w:rFonts w:ascii="MTN Brighter Sans" w:hAnsi="MTN Brighter Sans" w:eastAsia="MTN Brighter Sans"/>
          <w:sz w:val="22"/>
        </w:rPr>
        <w:t>third-party outages;</w:t>
      </w:r>
    </w:p>
    <w:p>
      <w:pPr>
        <w:pStyle w:val="ListBullet"/>
        <w:spacing w:after="60"/>
        <w:ind w:left="331" w:hanging="202"/>
      </w:pPr>
      <w:r>
        <w:rPr>
          <w:rFonts w:ascii="MTN Brighter Sans" w:hAnsi="MTN Brighter Sans" w:eastAsia="MTN Brighter Sans"/>
          <w:sz w:val="22"/>
        </w:rPr>
        <w:t>blockchain protocol failures;</w:t>
      </w:r>
    </w:p>
    <w:p>
      <w:pPr>
        <w:pStyle w:val="ListBullet"/>
        <w:spacing w:after="60"/>
        <w:ind w:left="331" w:hanging="202"/>
      </w:pPr>
      <w:r>
        <w:rPr>
          <w:rFonts w:ascii="MTN Brighter Sans" w:hAnsi="MTN Brighter Sans" w:eastAsia="MTN Brighter Sans"/>
          <w:sz w:val="22"/>
        </w:rPr>
        <w:t>user errors;</w:t>
      </w:r>
    </w:p>
    <w:p>
      <w:pPr>
        <w:pStyle w:val="ListBullet"/>
        <w:spacing w:after="60"/>
        <w:ind w:left="331" w:hanging="202"/>
      </w:pPr>
      <w:r>
        <w:rPr>
          <w:rFonts w:ascii="MTN Brighter Sans" w:hAnsi="MTN Brighter Sans" w:eastAsia="MTN Brighter Sans"/>
          <w:sz w:val="22"/>
        </w:rPr>
        <w:t>compromised user credentials;</w:t>
      </w:r>
    </w:p>
    <w:p>
      <w:pPr>
        <w:pStyle w:val="ListBullet"/>
        <w:spacing w:after="60"/>
        <w:ind w:left="331" w:hanging="202"/>
      </w:pPr>
      <w:r>
        <w:rPr>
          <w:rFonts w:ascii="MTN Brighter Sans" w:hAnsi="MTN Brighter Sans" w:eastAsia="MTN Brighter Sans"/>
          <w:sz w:val="22"/>
        </w:rPr>
        <w:t>incorrect external-wallet details;</w:t>
      </w:r>
    </w:p>
    <w:p>
      <w:pPr>
        <w:pStyle w:val="ListBullet"/>
        <w:spacing w:after="60"/>
        <w:ind w:left="331" w:hanging="202"/>
      </w:pPr>
      <w:r>
        <w:rPr>
          <w:rFonts w:ascii="MTN Brighter Sans" w:hAnsi="MTN Brighter Sans" w:eastAsia="MTN Brighter Sans"/>
          <w:sz w:val="22"/>
        </w:rPr>
        <w:t>unsupported assets or networks; or</w:t>
      </w:r>
    </w:p>
    <w:p>
      <w:pPr>
        <w:pStyle w:val="ListBullet"/>
        <w:spacing w:after="60"/>
        <w:ind w:left="331" w:hanging="202"/>
      </w:pPr>
      <w:r>
        <w:rPr>
          <w:rFonts w:ascii="MTN Brighter Sans" w:hAnsi="MTN Brighter Sans" w:eastAsia="MTN Brighter Sans"/>
          <w:sz w:val="22"/>
        </w:rPr>
        <w:t>events outside Koineckta’s reasonable control.</w:t>
      </w:r>
    </w:p>
    <w:p>
      <w:pPr>
        <w:keepLines w:val="0"/>
      </w:pPr>
      <w:r>
        <w:rPr>
          <w:rFonts w:ascii="MTN Brighter Sans" w:hAnsi="MTN Brighter Sans" w:eastAsia="MTN Brighter Sans"/>
          <w:b w:val="0"/>
          <w:i w:val="0"/>
          <w:color w:val="1F2937"/>
          <w:sz w:val="22"/>
        </w:rPr>
        <w:t>Nothing in this Disclaimer excludes or restricts liability or consumer rights that cannot legally be excluded or restricted.</w:t>
      </w:r>
    </w:p>
    <w:p>
      <w:pPr>
        <w:pStyle w:val="Heading1"/>
        <w:keepNext/>
      </w:pPr>
      <w:r>
        <w:t>16. Changes to this Disclaimer</w:t>
      </w:r>
    </w:p>
    <w:p>
      <w:pPr>
        <w:keepLines w:val="0"/>
      </w:pPr>
      <w:r>
        <w:rPr>
          <w:rFonts w:ascii="MTN Brighter Sans" w:hAnsi="MTN Brighter Sans" w:eastAsia="MTN Brighter Sans"/>
          <w:b w:val="0"/>
          <w:i w:val="0"/>
          <w:color w:val="1F2937"/>
          <w:sz w:val="22"/>
        </w:rPr>
        <w:t>Koineckta may amend this Disclaimer to reflect changes in products, technology, regulation or law.</w:t>
      </w:r>
    </w:p>
    <w:p>
      <w:pPr>
        <w:keepLines w:val="0"/>
      </w:pPr>
      <w:r>
        <w:rPr>
          <w:rFonts w:ascii="MTN Brighter Sans" w:hAnsi="MTN Brighter Sans" w:eastAsia="MTN Brighter Sans"/>
          <w:b w:val="0"/>
          <w:i w:val="0"/>
          <w:color w:val="1F2937"/>
          <w:sz w:val="22"/>
        </w:rPr>
        <w:t>The most recent version will be published on the applicable Koineckta website or application.</w:t>
      </w:r>
    </w:p>
    <w:p>
      <w:pPr>
        <w:pStyle w:val="Heading1"/>
        <w:keepNext/>
      </w:pPr>
      <w:r>
        <w:t>17. Contact</w:t>
      </w:r>
    </w:p>
    <w:tbl>
      <w:tblPr>
        <w:tblW w:type="auto" w:w="0"/>
        <w:tblLayout w:type="fixed"/>
        <w:tblLook w:firstColumn="1" w:firstRow="1" w:lastColumn="0" w:lastRow="0" w:noHBand="0" w:noVBand="1" w:val="04A0"/>
      </w:tblPr>
      <w:tblGrid>
        <w:gridCol w:w="2232"/>
        <w:gridCol w:w="8136"/>
      </w:tblGrid>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Legal Entity</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KOINECKTA TECHNOLOGIES LIMITED</w:t>
            </w:r>
          </w:p>
        </w:tc>
      </w:tr>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Registered Address</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Plot 2, Road 2, Ikota Villa Estate, Lekki, Lagos Island LGA, Lagos State 101342, Nigeria</w:t>
            </w:r>
          </w:p>
        </w:tc>
      </w:tr>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Legal</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legal@koineckta.com</w:t>
            </w:r>
          </w:p>
        </w:tc>
      </w:tr>
      <w:tr>
        <w:tc>
          <w:tcPr>
            <w:tcW w:type="dxa" w:w="4968"/>
            <w:shd w:fill="F5F6F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sz w:val="19"/>
              </w:rPr>
              <w:t>Support</w:t>
            </w:r>
          </w:p>
        </w:tc>
        <w:tc>
          <w:tcPr>
            <w:tcW w:type="dxa" w:w="4968"/>
            <w:tcBorders>
              <w:top w:val="single" w:sz="4" w:color="D9DDE3"/>
              <w:left w:val="single" w:sz="4" w:color="D9DDE3"/>
              <w:bottom w:val="single" w:sz="4" w:color="D9DDE3"/>
              <w:right w:val="single" w:sz="4" w:color="D9DDE3"/>
            </w:tcBorders>
          </w:tcPr>
          <w:p>
            <w:pPr>
              <w:spacing w:after="20"/>
            </w:pPr>
            <w:r>
              <w:rPr>
                <w:rFonts w:ascii="MTN Brighter Sans" w:hAnsi="MTN Brighter Sans" w:eastAsia="MTN Brighter Sans"/>
                <w:b w:val="0"/>
                <w:sz w:val="19"/>
              </w:rPr>
              <w:t>support@koineckta.com</w:t>
            </w:r>
          </w:p>
        </w:tc>
      </w:tr>
    </w:tbl>
    <w:p>
      <w:pPr>
        <w:keepLines w:val="0"/>
      </w:pPr>
      <w:r>
        <w:rPr>
          <w:rFonts w:ascii="MTN Brighter Sans" w:hAnsi="MTN Brighter Sans" w:eastAsia="MTN Brighter Sans"/>
          <w:b w:val="0"/>
          <w:i w:val="0"/>
          <w:color w:val="1F2937"/>
          <w:sz w:val="22"/>
        </w:rPr>
        <w:t>Questions regarding this Disclaimer may be directed to legal@koineckta.com or support@koineckta.com.</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TN Brighter Sans" w:hAnsi="MTN Brighter Sans" w:eastAsia="MTN Brighter Sans"/>
        <w:b w:val="0"/>
        <w:color w:val="6B7280"/>
        <w:sz w:val="16"/>
      </w:rPr>
      <w:t xml:space="preserve">© 2026 Koineckta Technologies Limited  •  </w:t>
    </w:r>
    <w:r>
      <w:rPr>
        <w:rFonts w:ascii="MTN Brighter Sans" w:hAnsi="MTN Brighter Sans" w:eastAsia="MTN Brighter Sans"/>
        <w:b w:val="0"/>
        <w:color w:val="6B7280"/>
        <w:sz w:val="16"/>
      </w:rPr>
      <w:t xml:space="preserve">Page </w:t>
    </w:r>
    <w:fldSimple w:instr="PAGE">
      <w:r>
        <w:rPr>
          <w:rFonts w:ascii="MTN Brighter Sans" w:hAnsi="MTN Brighter Sans"/>
          <w:sz w:val="16"/>
          <w:color w:val="6B7280"/>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TN Brighter Sans" w:hAnsi="MTN Brighter Sans" w:eastAsia="MTN Brighter Sans"/>
        <w:b/>
        <w:color w:val="F28C28"/>
        <w:sz w:val="18"/>
      </w:rPr>
      <w:t>KOINECKTA</w:t>
    </w:r>
    <w:r>
      <w:rPr>
        <w:rFonts w:ascii="MTN Brighter Sans" w:hAnsi="MTN Brighter Sans" w:eastAsia="MTN Brighter Sans"/>
        <w:b w:val="0"/>
        <w:color w:val="6B7280"/>
        <w:sz w:val="17"/>
      </w:rPr>
      <w:t xml:space="preserve">  |  KOINECKTA WEBSITE AND PRODUCT DISCLAIMER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MTN Brighter Sans" w:hAnsi="MTN Brighter Sans" w:eastAsia="MTN Brighter Sans"/>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MTN Brighter Sans" w:hAnsi="MTN Brighter Sans" w:eastAsia="MTN Brighter Sans"/>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MTN Brighter Sans" w:hAnsi="MTN Brighter Sans" w:eastAsia="MTN Brighter Sans"/>
      <w:b/>
      <w:bCs/>
      <w:color w:val="1F293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MTN Brighter Sans" w:hAnsi="MTN Brighter Sans" w:eastAsia="MTN Brighter Sans"/>
      <w:b/>
      <w:bCs/>
      <w:color w:val="1F29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MTN Brighter Sans" w:hAnsi="MTN Brighter Sans" w:eastAsia="MTN Brighter Sans"/>
      <w:b/>
      <w:color w:val="1F293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Koineckta Website and Product Disclaimer</dc:title>
  <dc:subject>Koineckta Website and Product Disclaimer for Koineckta</dc:subject>
  <dc:creator>KOINECKTA TECHNOLOGIES LIMITED</dc:creator>
  <cp:keywords>Koineckta, legal, policy, fintech, digital assets, Nigeria</cp:keywords>
  <dc:description>Publication-ready legal document for Koineckta websites and applications.</dc:description>
  <cp:lastModifiedBy/>
  <cp:revision>1</cp:revision>
  <dcterms:created xsi:type="dcterms:W3CDTF">2013-12-23T23:15:00Z</dcterms:created>
  <dcterms:modified xsi:type="dcterms:W3CDTF">2013-12-23T23:15:00Z</dcterms:modified>
  <cp:category/>
</cp:coreProperties>
</file>